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 xml:space="preserve">Projekta </w:t>
      </w:r>
      <w:r w:rsidRPr="00830BBF">
        <w:rPr>
          <w:rFonts w:ascii="Times New Roman" w:hAnsi="Times New Roman"/>
          <w:sz w:val="28"/>
          <w:szCs w:val="28"/>
        </w:rPr>
        <w:t>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D8957D9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M2 </w:t>
      </w:r>
      <w:r w:rsidRPr="00CE5686">
        <w:rPr>
          <w:rFonts w:ascii="Times New Roman" w:hAnsi="Times New Roman"/>
          <w:bCs/>
          <w:sz w:val="28"/>
          <w:szCs w:val="28"/>
        </w:rPr>
        <w:t>Pievilcīga dzīves vide un aktīvas lauku kopienas</w:t>
      </w:r>
    </w:p>
    <w:p w14:paraId="23758660" w14:textId="630636AF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>
        <w:rPr>
          <w:rFonts w:ascii="Times New Roman" w:hAnsi="Times New Roman"/>
          <w:b/>
          <w:sz w:val="28"/>
          <w:szCs w:val="28"/>
          <w:lang w:eastAsia="zh-CN"/>
        </w:rPr>
        <w:t>4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CE5686">
        <w:rPr>
          <w:rFonts w:ascii="Times New Roman" w:hAnsi="Times New Roman"/>
          <w:sz w:val="28"/>
          <w:szCs w:val="28"/>
        </w:rPr>
        <w:t>Uz vietējās kopienas vajadzībām balstītas publiskās infrastruktūras izveide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Paš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785E0B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noteiktajai </w:t>
            </w:r>
            <w:r w:rsidRPr="00785E0B">
              <w:rPr>
                <w:rFonts w:ascii="Times New Roman" w:hAnsi="Times New Roman"/>
                <w:lang w:eastAsia="zh-CN"/>
              </w:rPr>
              <w:t xml:space="preserve">rīcībai, </w:t>
            </w:r>
            <w:r>
              <w:rPr>
                <w:rFonts w:ascii="Times New Roman" w:hAnsi="Times New Roman"/>
                <w:lang w:eastAsia="zh-CN"/>
              </w:rPr>
              <w:t xml:space="preserve">biedrības ZBA VRG </w:t>
            </w:r>
            <w:r w:rsidRPr="00785E0B">
              <w:rPr>
                <w:rFonts w:ascii="Times New Roman" w:hAnsi="Times New Roman"/>
                <w:lang w:eastAsia="zh-CN"/>
              </w:rPr>
              <w:t>teritorijai (Ja tiek saņemts “Nē” – projekts tiek noraidīts)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konkrēts, izmērāms, reāli sasniedzams plānotā budžeta, laika un cilvēkresursu ziņā. Individuālais projekta mērķis ir saskaņots ar projekta īstenošanas vietas pagasta SVID (publicēts </w:t>
            </w:r>
            <w:hyperlink r:id="rId6" w:history="1">
              <w:r w:rsidRPr="00B31CF2">
                <w:rPr>
                  <w:rStyle w:val="Hipersaite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vai ir organizēta sabiedriskā apspriešana.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aprakstīts, bet nav izmērāms. Nekonkrētas norādes par laika un cilvēkresursiem mērķa sasniegšanai. Individuālais projekta mērķis ir saskaņots ar projekta īstenošanas vietas pagasta SVID (publicēts </w:t>
            </w:r>
            <w:hyperlink r:id="rId7" w:history="1">
              <w:r w:rsidRPr="00B31CF2">
                <w:rPr>
                  <w:rStyle w:val="Hipersaite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vai ir organizēta sabiedriskā apspriešana.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77777777" w:rsidR="003A5BC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ir nekonkrēts, vispārīgs, nav sasniedzams projekta īstenošanas laikā. Individuālais projekta mērķis nav saskaņots ar projekta īstenošanas vietas pagasta SVID (publicēts </w:t>
            </w:r>
            <w:hyperlink r:id="rId8" w:history="1">
              <w:r w:rsidRPr="00B31CF2">
                <w:rPr>
                  <w:rStyle w:val="Hipersaite"/>
                  <w:rFonts w:ascii="Times New Roman" w:hAnsi="Times New Roman"/>
                  <w:kern w:val="2"/>
                  <w:lang w:eastAsia="zh-CN"/>
                  <w14:ligatures w14:val="standardContextual"/>
                </w:rPr>
                <w:t>www.ziemeļkurzeme.lv</w:t>
              </w:r>
            </w:hyperlink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 un nav organizēta sabiedriskā apspriešana. 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77777777" w:rsidR="003A5BCB" w:rsidRPr="008912A7" w:rsidRDefault="003A5BCB" w:rsidP="000D058A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6A03894C" w14:textId="0CA41CC8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77777777" w:rsidR="003A5BCB" w:rsidRPr="008912A7" w:rsidRDefault="003A5BCB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Nr.579 36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28CE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0D058A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D3E3D9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49D8D8E5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CB7AFB2" w14:textId="7A4D142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C3834D1" w14:textId="42A3C710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0E9DED0" w14:textId="65CE99E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0A8A69B" w14:textId="19E2F764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aprakstītas problēmas, ko projekts paredz risināt un nepilnīgs apraksts projekta rezultātam. Nav pamatota projekta aktualitāte vietējai sabiedrībai.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785E0B">
              <w:rPr>
                <w:rFonts w:ascii="Times New Roman" w:hAnsi="Times New Roman"/>
                <w:b/>
                <w:lang w:eastAsia="zh-CN"/>
              </w:rPr>
              <w:t>otenciālā mērķa grupa un tās ieguvumi no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skaidri definēta mērķa grupa, tās lielums, tiešais labuma guvēju skaits un ieguvumu apraksts. Projekta pieteikumam pievienots papild</w:t>
            </w:r>
            <w:r>
              <w:rPr>
                <w:rFonts w:ascii="Times New Roman" w:hAnsi="Times New Roman"/>
                <w:lang w:eastAsia="zh-CN"/>
              </w:rPr>
              <w:t>inošs</w:t>
            </w:r>
            <w:r w:rsidRPr="00785E0B">
              <w:rPr>
                <w:rFonts w:ascii="Times New Roman" w:hAnsi="Times New Roman"/>
                <w:lang w:eastAsia="zh-CN"/>
              </w:rPr>
              <w:t xml:space="preserve"> materiāls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definēta mērķa grupa, tās lielums, tiešais labuma guvēju skaits un ieguvumu apraksts. Projekta pieteikumā vai tā pielikumā iekļautā informācija nesniedz pārliecību par mērķauditorijas objektīvu novērtējumu.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definēta mērķa grupa, tās lielums,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mērķa grupas apraksts nav pietiekami detalizēts, </w:t>
            </w:r>
            <w:r>
              <w:rPr>
                <w:rFonts w:ascii="Times New Roman" w:hAnsi="Times New Roman"/>
                <w:lang w:eastAsia="zh-CN"/>
              </w:rPr>
              <w:t xml:space="preserve">nav </w:t>
            </w:r>
            <w:r w:rsidRPr="00785E0B">
              <w:rPr>
                <w:rFonts w:ascii="Times New Roman" w:hAnsi="Times New Roman"/>
                <w:lang w:eastAsia="zh-CN"/>
              </w:rPr>
              <w:t>norādīts tiešais labuma guvēju skaits un ieguvumu apraksts. Projekta pieteikumā vai tā pielikumā nav sniegts apraksts par projekta mērķauditorijas novērtēšanu.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 xml:space="preserve">Plānotās aktivitātes </w:t>
            </w:r>
            <w:r>
              <w:rPr>
                <w:rFonts w:ascii="Times New Roman" w:hAnsi="Times New Roman"/>
                <w:b/>
                <w:lang w:eastAsia="zh-CN"/>
              </w:rPr>
              <w:t>un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projekta īstenošanas gaita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Pārskatāmi un loģiski atspoguļota projekta īstenošanas gaita un skaidri saprotama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09AC2A6" w14:textId="13D0651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C7AE56E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1C09CE7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skaidri aprakstīta esošā situācija un pamatotas aktivitātes, kā sasniegt mērķi. Aprakstīta projekta īstenošanas gaita vai veicamo darbu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55031F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</w:t>
            </w:r>
            <w:r>
              <w:rPr>
                <w:rFonts w:ascii="Times New Roman" w:hAnsi="Times New Roman"/>
                <w:lang w:eastAsia="zh-CN"/>
              </w:rPr>
              <w:t>Neskaidri aprakstīta p</w:t>
            </w:r>
            <w:r w:rsidRPr="00785E0B">
              <w:rPr>
                <w:rFonts w:ascii="Times New Roman" w:hAnsi="Times New Roman"/>
                <w:lang w:eastAsia="zh-CN"/>
              </w:rPr>
              <w:t>rojekta īstenošanas gaita un veicamo darbu secība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785E0B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mērķi. Nav sniegts projekta īstenošanas darbu apraksts un to veikšanas secība.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77777777" w:rsidR="00830BBF" w:rsidRPr="008912A7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12746674" w14:textId="2037DD03" w:rsidTr="00540BE1"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292A46F4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5F0D050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575E3639" w14:textId="53C8CED9" w:rsidTr="00540BE1">
        <w:trPr>
          <w:trHeight w:val="443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</w:tcPr>
          <w:p w14:paraId="3372D4E5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A75AFA6" w14:textId="75632D77" w:rsidTr="00540BE1">
        <w:trPr>
          <w:trHeight w:val="408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3A5BCB" w:rsidRPr="008912A7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017A9" w14:textId="77777777" w:rsidR="003A5BCB" w:rsidRPr="008912A7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</w:tcPr>
          <w:p w14:paraId="7FF87A38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3A5BCB" w:rsidRPr="008912A7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2F0ECD" w14:textId="77777777" w:rsidR="00830BBF" w:rsidRDefault="00830BBF" w:rsidP="000D058A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-7.)</w:t>
            </w:r>
          </w:p>
          <w:p w14:paraId="7557A370" w14:textId="77777777" w:rsidR="00830BBF" w:rsidRPr="009B429B" w:rsidRDefault="00830BBF" w:rsidP="000D058A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B</w:t>
            </w:r>
            <w:r w:rsidRPr="00785E0B">
              <w:rPr>
                <w:rFonts w:ascii="Times New Roman" w:hAnsi="Times New Roman"/>
                <w:b/>
                <w:lang w:eastAsia="zh-CN"/>
              </w:rPr>
              <w:t>ērnu un/vai jauniešu interešu attīstīšan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jauniešu </w:t>
            </w:r>
            <w:r>
              <w:rPr>
                <w:rFonts w:ascii="Times New Roman" w:hAnsi="Times New Roman"/>
                <w:lang w:eastAsia="zh-CN"/>
              </w:rPr>
              <w:t>interešu attīstīšanu</w:t>
            </w:r>
            <w:r w:rsidRPr="00785E0B">
              <w:rPr>
                <w:rFonts w:ascii="Times New Roman" w:hAnsi="Times New Roman"/>
                <w:lang w:eastAsia="zh-CN"/>
              </w:rPr>
              <w:t>, aprakstīts un skaidri pamatots turpinājums pēc projekta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5FC210B" w14:textId="53856E6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58FDD7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80F0715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</w:t>
            </w:r>
            <w:r>
              <w:rPr>
                <w:rFonts w:ascii="Times New Roman" w:hAnsi="Times New Roman"/>
                <w:lang w:eastAsia="zh-CN"/>
              </w:rPr>
              <w:t xml:space="preserve">netieši </w:t>
            </w:r>
            <w:r w:rsidRPr="00785E0B">
              <w:rPr>
                <w:rFonts w:ascii="Times New Roman" w:hAnsi="Times New Roman"/>
                <w:lang w:eastAsia="zh-CN"/>
              </w:rPr>
              <w:t>vērsts uz jauniešu/bērnu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38F92B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uz bērnu un/vai jauniešu interešu attīstīšanu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lastRenderedPageBreak/>
              <w:t>9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22852A0F" w14:textId="3F54D79F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207DAF99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materiālā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 un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14C32BC" w14:textId="30065BE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9594B6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pasākums vērsts uz </w:t>
            </w:r>
            <w:r>
              <w:rPr>
                <w:rFonts w:ascii="Times New Roman" w:hAnsi="Times New Roman"/>
                <w:lang w:eastAsia="zh-CN"/>
              </w:rPr>
              <w:t xml:space="preserve">nemateriālā </w:t>
            </w:r>
            <w:r w:rsidRPr="00785E0B">
              <w:rPr>
                <w:rFonts w:ascii="Times New Roman" w:hAnsi="Times New Roman"/>
                <w:lang w:eastAsia="zh-CN"/>
              </w:rPr>
              <w:t>kultūrvēsturiskā mantojuma saglabāšanu</w:t>
            </w:r>
            <w:r>
              <w:rPr>
                <w:rFonts w:ascii="Times New Roman" w:hAnsi="Times New Roman"/>
                <w:lang w:eastAsia="zh-CN"/>
              </w:rPr>
              <w:t xml:space="preserve"> un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19F8242" w14:textId="4E0E6263" w:rsidTr="00540BE1">
        <w:trPr>
          <w:trHeight w:val="561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6270307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pasākums nav vērsts u</w:t>
            </w:r>
            <w:r>
              <w:rPr>
                <w:rFonts w:ascii="Times New Roman" w:hAnsi="Times New Roman"/>
                <w:lang w:eastAsia="zh-CN"/>
              </w:rPr>
              <w:t>z</w:t>
            </w:r>
            <w:r w:rsidRPr="00785E0B">
              <w:rPr>
                <w:rFonts w:ascii="Times New Roman" w:hAnsi="Times New Roman"/>
                <w:lang w:eastAsia="zh-CN"/>
              </w:rPr>
              <w:t xml:space="preserve"> kultūrvēsturiskā mantojuma saglabāšanu vai popularizēšanu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6699AAF6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), tas jāpamato un rezultātam jābūt pierādāmam. Atbilstošu pakalpojumu var izveidot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304098AD" w14:textId="77777777" w:rsidR="00830BBF" w:rsidRPr="00994B05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 xml:space="preserve">Kritērija nosacījumu izpilde jānodrošina projekta īstenošanas laikā.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67310F29" w14:textId="4C2067E9" w:rsidTr="00540BE1">
        <w:trPr>
          <w:trHeight w:val="649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20396CB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0EBCECF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0DADBD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553E355" w14:textId="1B081100" w:rsidTr="00540BE1">
        <w:trPr>
          <w:trHeight w:val="416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AC454BB" w14:textId="300DA486" w:rsidTr="00540BE1">
        <w:trPr>
          <w:trHeight w:val="562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3A5BCB" w:rsidRPr="00785E0B" w:rsidRDefault="003A5BCB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11.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77777777" w:rsidR="00830BBF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1452D1B8" w14:textId="2BC0C06C" w:rsidTr="00540BE1">
        <w:trPr>
          <w:trHeight w:val="347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3A5BCB" w:rsidRDefault="003A5BCB" w:rsidP="000D058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5360" w14:textId="77777777" w:rsidR="003A5BCB" w:rsidRDefault="003A5BCB" w:rsidP="000D058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54D945DD" w14:textId="2B64D6F3" w:rsidTr="00540BE1">
        <w:trPr>
          <w:trHeight w:val="423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3A5BCB" w:rsidRDefault="003A5BCB" w:rsidP="000D058A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FDBB" w14:textId="77777777" w:rsidR="003A5BCB" w:rsidRDefault="003A5BCB" w:rsidP="00830BBF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netiek īstenots kā kopprojekts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12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830BBF" w:rsidRPr="00072092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072092" w14:paraId="371E5B9B" w14:textId="4ADF2A1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AAE3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99824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072092" w14:paraId="15C6169D" w14:textId="29E9BC00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A533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348459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072092" w14:paraId="2B6D44D5" w14:textId="12B2028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3A5BCB" w:rsidRPr="00072092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137" w14:textId="77777777" w:rsidR="003A5BCB" w:rsidRPr="00072092" w:rsidRDefault="003A5BCB" w:rsidP="000D058A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9D9BC3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3A5BCB" w:rsidRPr="00072092" w:rsidRDefault="003A5BCB" w:rsidP="000D058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7BCA2AB0" w14:textId="046624A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EC07497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785E0B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5A4ED494" w14:textId="33F932AA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160FF6D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62CB0F66" w14:textId="3AAA19A8" w:rsidTr="00540BE1">
        <w:trPr>
          <w:trHeight w:val="35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0C93A894" w14:textId="68078A21" w:rsidTr="00540BE1">
        <w:trPr>
          <w:trHeight w:val="413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lastRenderedPageBreak/>
              <w:t>1</w:t>
            </w: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607A918C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23750B16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3A5BCB" w:rsidRPr="00785E0B" w14:paraId="577BF2B3" w14:textId="167B62C7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3A5BCB" w:rsidRPr="00785E0B" w:rsidRDefault="003A5BCB" w:rsidP="000D05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1F8AD7A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C23E103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72925F9C" w14:textId="2965EE4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EDAD4A3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1C3E6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60B06DA5" w14:textId="34664764" w:rsidTr="00540BE1">
        <w:trPr>
          <w:trHeight w:val="392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E3209D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983F138" w14:textId="3259E693" w:rsidTr="00540BE1">
        <w:trPr>
          <w:trHeight w:val="315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6B4C8C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0E648F7F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1BFB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FD321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EF670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B4F7F06" w14:textId="244F3D6C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5C9DE38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C5EBAE6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934D8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E8EC0E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EF42A9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313EEBBB" w14:textId="48126182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3C8C8CC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8CBF5C1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39FB71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24FDA7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387BB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78AECCE" w14:textId="47EAB9B2" w:rsidTr="00540BE1">
        <w:tc>
          <w:tcPr>
            <w:tcW w:w="59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5E635A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bottom w:val="single" w:sz="12" w:space="0" w:color="auto"/>
            </w:tcBorders>
            <w:shd w:val="clear" w:color="auto" w:fill="auto"/>
          </w:tcPr>
          <w:p w14:paraId="7BA45360" w14:textId="77777777" w:rsidR="003A5BCB" w:rsidRPr="00785E0B" w:rsidRDefault="003A5BCB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pēc projekta īstenošanas</w:t>
            </w:r>
          </w:p>
        </w:tc>
        <w:tc>
          <w:tcPr>
            <w:tcW w:w="12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F8D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3DD4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2B45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6E62B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20196C"/>
    <w:rsid w:val="003A5BCB"/>
    <w:rsid w:val="00540BE1"/>
    <w:rsid w:val="006E62B7"/>
    <w:rsid w:val="00830BBF"/>
    <w:rsid w:val="008A4219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eme&#316;kurzeme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eme&#316;kurzem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eme&#316;kurzeme.l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5904</Words>
  <Characters>3366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1</cp:revision>
  <dcterms:created xsi:type="dcterms:W3CDTF">2024-01-26T10:29:00Z</dcterms:created>
  <dcterms:modified xsi:type="dcterms:W3CDTF">2024-01-26T11:12:00Z</dcterms:modified>
</cp:coreProperties>
</file>