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37536" w14:textId="77777777" w:rsidR="0010642D" w:rsidRPr="008E30B6" w:rsidRDefault="00634EF0" w:rsidP="0010642D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v-LV"/>
        </w:rPr>
        <w:drawing>
          <wp:anchor distT="0" distB="0" distL="114300" distR="114300" simplePos="0" relativeHeight="251657728" behindDoc="0" locked="0" layoutInCell="1" allowOverlap="1" wp14:anchorId="33B8756C" wp14:editId="467D71B9">
            <wp:simplePos x="0" y="0"/>
            <wp:positionH relativeFrom="column">
              <wp:posOffset>1744980</wp:posOffset>
            </wp:positionH>
            <wp:positionV relativeFrom="paragraph">
              <wp:posOffset>-209550</wp:posOffset>
            </wp:positionV>
            <wp:extent cx="5972175" cy="7334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642D" w:rsidRPr="008E30B6">
        <w:rPr>
          <w:rFonts w:ascii="Times New Roman" w:hAnsi="Times New Roman" w:cs="Times New Roman"/>
          <w:b/>
          <w:sz w:val="28"/>
          <w:szCs w:val="28"/>
        </w:rPr>
        <w:t>Lauku partnerība “Lielupe”</w:t>
      </w:r>
    </w:p>
    <w:p w14:paraId="7594560E" w14:textId="77777777" w:rsidR="0010642D" w:rsidRDefault="0010642D" w:rsidP="0010642D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65530" w14:textId="77777777" w:rsidR="00634EF0" w:rsidRDefault="00634EF0" w:rsidP="0010642D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F0741" w14:textId="1B561A9F" w:rsidR="0010642D" w:rsidRDefault="0010642D" w:rsidP="00634EF0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B6">
        <w:rPr>
          <w:rFonts w:ascii="Times New Roman" w:hAnsi="Times New Roman" w:cs="Times New Roman"/>
          <w:b/>
          <w:sz w:val="28"/>
          <w:szCs w:val="28"/>
        </w:rPr>
        <w:t>Sabiedrības virzīta vietējās attīstības stratēģija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0B6">
        <w:rPr>
          <w:rFonts w:ascii="Times New Roman" w:hAnsi="Times New Roman" w:cs="Times New Roman"/>
          <w:b/>
          <w:sz w:val="28"/>
          <w:szCs w:val="28"/>
        </w:rPr>
        <w:t>Jelgavas un Ozolnieku novadiem 2014.-202</w:t>
      </w:r>
      <w:r w:rsidR="00B25934">
        <w:rPr>
          <w:rFonts w:ascii="Times New Roman" w:hAnsi="Times New Roman" w:cs="Times New Roman"/>
          <w:b/>
          <w:sz w:val="28"/>
          <w:szCs w:val="28"/>
        </w:rPr>
        <w:t>2</w:t>
      </w:r>
      <w:r w:rsidRPr="008E30B6">
        <w:rPr>
          <w:rFonts w:ascii="Times New Roman" w:hAnsi="Times New Roman" w:cs="Times New Roman"/>
          <w:b/>
          <w:sz w:val="28"/>
          <w:szCs w:val="28"/>
        </w:rPr>
        <w:t>. gadam</w:t>
      </w:r>
    </w:p>
    <w:p w14:paraId="77DA6441" w14:textId="0B78676D" w:rsidR="00634EF0" w:rsidRPr="00F82DB0" w:rsidRDefault="00B25934" w:rsidP="00634EF0">
      <w:pPr>
        <w:spacing w:before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634EF0" w:rsidRPr="008E30B6">
        <w:rPr>
          <w:rFonts w:ascii="Times New Roman" w:hAnsi="Times New Roman" w:cs="Times New Roman"/>
          <w:b/>
          <w:sz w:val="28"/>
          <w:szCs w:val="28"/>
        </w:rPr>
        <w:t>tbalsta pretendenta pašnovērtējums saskaņā ar projektu vērtēšanas kritērijiem</w:t>
      </w:r>
    </w:p>
    <w:p w14:paraId="0DF06C27" w14:textId="77777777" w:rsidR="00B25934" w:rsidRPr="00B25934" w:rsidRDefault="00B25934" w:rsidP="00B2593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9528468"/>
      <w:r w:rsidRPr="00B25934">
        <w:rPr>
          <w:rFonts w:ascii="Times New Roman" w:eastAsia="Calibri" w:hAnsi="Times New Roman" w:cs="Times New Roman"/>
          <w:b/>
          <w:sz w:val="24"/>
          <w:szCs w:val="24"/>
        </w:rPr>
        <w:t xml:space="preserve">M1 VIETĒJĀ EKONOMIKA/R1 Atbalsts nelauksaimnieciskās uzņēmējdarbības, t.sk. lauksaimniecības produktu pārstrādes, lauku tūrisma un amatniecības attīstībai </w:t>
      </w:r>
      <w:r w:rsidRPr="00B2593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tbl>
      <w:tblPr>
        <w:tblW w:w="1545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701"/>
        <w:gridCol w:w="1843"/>
        <w:gridCol w:w="1843"/>
        <w:gridCol w:w="4535"/>
      </w:tblGrid>
      <w:tr w:rsidR="007744CB" w:rsidRPr="00B25934" w14:paraId="7040AFB9" w14:textId="34451DCC" w:rsidTr="007744C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bookmarkEnd w:id="1"/>
          <w:p w14:paraId="5B71CC5D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Kritērijs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B9EE7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Novērtējums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FE2D89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Punktu skaits un skaidrojums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5C699" w14:textId="6A526FEA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Atsauce uz veidlapu 19.2.1.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FC4A" w14:textId="3815F006" w:rsidR="007744CB" w:rsidRPr="007744CB" w:rsidRDefault="007744CB" w:rsidP="0077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7744CB">
              <w:rPr>
                <w:rFonts w:ascii="Times New Roman" w:eastAsia="Calibri" w:hAnsi="Times New Roman" w:cs="Times New Roman"/>
                <w:b/>
                <w:bCs/>
                <w:sz w:val="24"/>
              </w:rPr>
              <w:t>Atbalsta pretendenta vērtējums</w:t>
            </w:r>
          </w:p>
        </w:tc>
      </w:tr>
      <w:tr w:rsidR="007744CB" w:rsidRPr="00B25934" w14:paraId="7613B955" w14:textId="77777777" w:rsidTr="007744CB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D8482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1321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DA6A8D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7BC9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C2AF" w14:textId="4936EF9F" w:rsidR="007744CB" w:rsidRPr="007744CB" w:rsidRDefault="007744CB" w:rsidP="0077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Vērtējums/ punktu skaits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A3FE" w14:textId="77777777" w:rsidR="007744CB" w:rsidRDefault="007744CB" w:rsidP="0077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Pamatojums vērtējumam</w:t>
            </w:r>
          </w:p>
          <w:p w14:paraId="2C34865F" w14:textId="50B6259C" w:rsidR="007744CB" w:rsidRPr="00B25934" w:rsidRDefault="007744CB" w:rsidP="00774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/punktu skaitam</w:t>
            </w:r>
          </w:p>
        </w:tc>
      </w:tr>
      <w:tr w:rsidR="007744CB" w:rsidRPr="00B25934" w14:paraId="7B53DCE2" w14:textId="209F9347" w:rsidTr="007744C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CA24BBB" w14:textId="2A5A5D16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1. Administratīvās atbilstība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9404B21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Projekts ir atbilstošs SVVA stratēģijas rīcības plānā noteiktajai rīcībai, LAP 2014.-2020. gadam 19.2. pasākumam un 19.2.1.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apakšaktivitātei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 un Ministru kabineta 13.10.2015. noteikumiem Nr. 590.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28F171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Atbilst/Neatbilst</w:t>
            </w:r>
          </w:p>
          <w:p w14:paraId="3676A38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Projektu iesniegumi, kuri šajā kritērijā saņem vērtējumu „Neatbilst” tālāk netiek vērtēti.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6D474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Projekta iesniegums kopumā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749D53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E1CFF4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3D5296BF" w14:textId="05F39039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5B4DBA7E" w14:textId="67B1D72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2. Saimnieciskās darbības ilgums projekta īstenošanas nozarē vai blakusnozarē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FF86AD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Nav dibināts/darbojas līdz 12 mēnešiem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8275F46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97EB78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A.1.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1BB534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BF0803E" w14:textId="4A287C53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6CB2151" w14:textId="0474CACE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246DF0C9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08D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Virs 12 mēnešiem līdz 36 mēnešiem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E8D1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36E4B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DD22C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4F31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2BC1CB30" w14:textId="603F74CD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49C9F3BF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398BFA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Virs 36 mēnešiem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C43C6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C0FD49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CA2153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70D16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360AFD59" w14:textId="6C1F7DEA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449CB8F8" w14:textId="2C97DBEB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3. Saņemtais publiskā finansējuma apmērs un publicitātes nodrošināšana SVVA stratēģijas 2014-2020 ietvaros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70D55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>Līdz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20 000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>eiro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2B53CE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DED4826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A.1. </w:t>
            </w:r>
          </w:p>
          <w:p w14:paraId="52F5AD6D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VRG datu bāze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B0789F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F2E7E1C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0C6568A" w14:textId="05A8B4A5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5EA6157F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A4F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20 001-50 000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>eiro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D87C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EBF8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7F5AC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6C17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68FF7BBC" w14:textId="4DD88317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63F2C452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75F9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50 001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>eiro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un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>vairāk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B8C9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D1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FE3C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E2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74D904F3" w14:textId="0F3D2F81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C3AC27A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5437A5D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Projekta īstenotājs par iepriekš realizētajiem projektiem, kuri ir statusā </w:t>
            </w:r>
            <w:r w:rsidRPr="00B25934">
              <w:rPr>
                <w:rFonts w:ascii="Times New Roman" w:eastAsia="Calibri" w:hAnsi="Times New Roman" w:cs="Times New Roman"/>
                <w:i/>
                <w:iCs/>
                <w:sz w:val="24"/>
              </w:rPr>
              <w:lastRenderedPageBreak/>
              <w:t>Sākta uzraudzība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 ir izpildījis apstiprinātajā projekta iesniegumā norādītās publicitātes aktivitātes. Publicitātes aktivitātēm jābūt izpildītām uz jaunā projekta iesniegšanas dienu.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8BA3CE4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Ja nav izpildīts kritērijs tad no kopējā projekta </w:t>
            </w: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iesnieguma vērtējuma </w:t>
            </w:r>
            <w:r w:rsidRPr="00B2593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ar-SA"/>
              </w:rPr>
              <w:t>tiek noņemti 3 punkti</w:t>
            </w: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Kritērijs tiek piemērots arī gadījumā, ja ir iepriekš realizēti vairāki projekti, bet publicitāte nav izpildīta par vienu projektu.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BEE16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B.2.7. VRG datu bāze, apstiprinātie 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>projektu iesniegumi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30295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54227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7EEABB76" w14:textId="6BBABDFD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449FDFC1" w14:textId="58DC9DA9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4. Projekta attiecināmās summas lielums projektu iesniegšanas kārtā (ja kārtā iesniegti vairāki projekti, tos summē un atbilstošo punktu skaitu saņem visi iesniegtie projekti)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57C428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Līdz 10 000 eiro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60D1296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E8EFF72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B.9.1.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E7417A3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6178ACB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1EBBFD4C" w14:textId="00347F91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0E26923C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4BEB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Virs 10 000 līdz 20 000 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782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1.5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F4BC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6C6D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E8DDA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5CEE626" w14:textId="3E64DC88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2CF10FD2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8C282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Virs 20 000 līdz 25000 eiro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B931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F369C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752A1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D2AB1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0082FBDE" w14:textId="7D0BA79B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7D60221B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C0971F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Virs 25 000 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1673E2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C7EAA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33157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29E74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81319D2" w14:textId="399BA13C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3C052148" w14:textId="22994DB0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5. Atbalsta pretendenta un tā saistīto uzņēmumu neto apgrozījums pēdējā noslēgtā gadā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DA9263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Līdz 35 000 eiro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B2EACFD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8AF5B9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Atbalsta pretendenta un tā saistīto uzņēmumu apgrozījums, Lursoft datu bāze</w:t>
            </w:r>
          </w:p>
          <w:p w14:paraId="0A5ACA64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Projekta sadaļa saistīto uzņēmu informācijas norādīšana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261BB88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8544FA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12DB8F94" w14:textId="6DB3FDEA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6FD26FAB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DFEA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Virs 35 000 līdz 70 000 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0A52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1.5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9BE6F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A9E5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0E4B5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48371624" w14:textId="61F2C067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0C1FDFC9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8CC48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Virs 70 000 līdz 100 000 eiro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AAB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F100A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4324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C28A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2D1687E8" w14:textId="0B406477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04593A00" w14:textId="77777777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E12BA16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Virs 100 000 līdz 150 000 eiro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F79BEA6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93CC6E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8672B7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5ADBE2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6AE2F556" w14:textId="78B23ED8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546890FE" w14:textId="6E4624FD" w:rsidR="007744CB" w:rsidRPr="00B25934" w:rsidRDefault="007744CB" w:rsidP="00B2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6. Projekts tiek ieviests kā kopprojekts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A8F4593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Plānots kopprojekts atbilstoši MK not. Nr. 590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56D086B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2E8DFE9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Informācija par kopprojekta dalībniekiem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3ACC2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921EB30" w14:textId="77777777" w:rsidR="007744CB" w:rsidRPr="00B25934" w:rsidRDefault="007744CB" w:rsidP="00B2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0C7ACD1E" w14:textId="5548810E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1FEAE2A6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105BE4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Nav kopprojekts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46106E1" w14:textId="414C3A63" w:rsidR="007744CB" w:rsidRPr="00B25934" w:rsidRDefault="00386143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7744CB"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51A6D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6D79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8BD02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7F9B4AB9" w14:textId="63BD2861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5E1BBC28" w14:textId="2468CBEC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bookmarkStart w:id="2" w:name="_Hlk98773653"/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>7. Projekta darbības virziens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0E369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Projekts veicina jauna produkta vai uzlabo esoša produkta ražošanu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150A2C1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D80C1E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B.1.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0A45C1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AC304A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3EC2149D" w14:textId="569563D6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038EA800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2CFC72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Projektā plānota vai tiek attīstīta pakalpojumu sniegšana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81874D1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46589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DDBA6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23F04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86143" w:rsidRPr="00B25934" w14:paraId="40A8D7C0" w14:textId="77777777" w:rsidTr="00B15473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5DD12B2D" w14:textId="6CB5CDBD" w:rsidR="00386143" w:rsidRPr="00B25934" w:rsidRDefault="00386143" w:rsidP="00386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bookmarkStart w:id="3" w:name="_Hlk75179933"/>
            <w:bookmarkEnd w:id="2"/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Projekt</w:t>
            </w:r>
            <w:r>
              <w:rPr>
                <w:rFonts w:ascii="Times New Roman" w:eastAsia="Calibri" w:hAnsi="Times New Roman" w:cs="Times New Roman"/>
                <w:sz w:val="24"/>
              </w:rPr>
              <w:t>ā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plānotās investīcijas.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3C723923" w14:textId="2CEBD96C" w:rsidR="00386143" w:rsidRPr="00386143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3">
              <w:rPr>
                <w:rFonts w:ascii="Times New Roman" w:hAnsi="Times New Roman" w:cs="Times New Roman"/>
                <w:sz w:val="24"/>
                <w:szCs w:val="24"/>
              </w:rPr>
              <w:t>Projektā plānota tikai pamatlīdzekļu iegāde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506BAC0" w14:textId="77777777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E3712B7" w14:textId="0FB3EE0C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</w:t>
            </w: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1D5F4CF" w14:textId="77777777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81D8CA2" w14:textId="77777777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86143" w:rsidRPr="00B25934" w14:paraId="7563D409" w14:textId="77777777" w:rsidTr="00B15473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869C3BB" w14:textId="77777777" w:rsidR="00386143" w:rsidRPr="00B25934" w:rsidRDefault="00386143" w:rsidP="003861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C86B4BF" w14:textId="0AC54516" w:rsidR="00386143" w:rsidRPr="00386143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43">
              <w:rPr>
                <w:rFonts w:ascii="Times New Roman" w:hAnsi="Times New Roman" w:cs="Times New Roman"/>
                <w:sz w:val="24"/>
                <w:szCs w:val="24"/>
              </w:rPr>
              <w:t>Projektā plānoti būvdarbi saskaņā ar MK not. 590 punktiem 28.2. un 28.3.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6D0FF18" w14:textId="1FF8401B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D7115D" w14:textId="77777777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C1E7DE" w14:textId="77777777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E8E347" w14:textId="77777777" w:rsidR="00386143" w:rsidRPr="00B25934" w:rsidRDefault="00386143" w:rsidP="00386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4E4A49C" w14:textId="49C64822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369DB0DD" w14:textId="6E94A955" w:rsidR="007744CB" w:rsidRPr="00B25934" w:rsidRDefault="00386143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  <w:r w:rsidR="007744CB" w:rsidRPr="00B25934">
              <w:rPr>
                <w:rFonts w:ascii="Times New Roman" w:eastAsia="Calibri" w:hAnsi="Times New Roman" w:cs="Times New Roman"/>
                <w:sz w:val="24"/>
              </w:rPr>
              <w:t>. Projekta idejas pamatojums, nepieciešamīb</w:t>
            </w:r>
            <w:r>
              <w:rPr>
                <w:rFonts w:ascii="Times New Roman" w:eastAsia="Calibri" w:hAnsi="Times New Roman" w:cs="Times New Roman"/>
                <w:sz w:val="24"/>
              </w:rPr>
              <w:t>a.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A96E25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Skaidri aprakstīta projekta ideja, pārliecinoši pamatota investīciju nepieciešamība, saprotami aprakstīts jaunradītais vai uzlabotais produkts/pakalpojums.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9768F41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62946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B.2.1.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CC3D89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6CA26D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79FCA21D" w14:textId="2441659E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628BE969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63AD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Daļēji izprotama projekta ideja, nepārliecinoši pamatota investīciju nepieciešamība, nepilnīgi aprakstīts  jaunradītais vai uzlabotais produkts/pakalpojums.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BE77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C14F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0ABE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31D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03F11A4C" w14:textId="7C59F8D2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6BE42BD7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B72DA4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Nav izprotama projekta ideja, nepārliecinoša investīciju nepieciešamība, neskaidri aprakstīts jaunradītais vai uzlabotais produkts/pakalpojums.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02DBE4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E9586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06C2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AB952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bookmarkEnd w:id="3"/>
      <w:tr w:rsidR="007744CB" w:rsidRPr="00B25934" w14:paraId="3CC5EFC2" w14:textId="2B853B81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538A95E6" w14:textId="5364AA0D" w:rsidR="007744CB" w:rsidRPr="00B25934" w:rsidRDefault="00386143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  <w:r w:rsidR="007744CB" w:rsidRPr="00B25934">
              <w:rPr>
                <w:rFonts w:ascii="Times New Roman" w:eastAsia="Calibri" w:hAnsi="Times New Roman" w:cs="Times New Roman"/>
                <w:sz w:val="24"/>
              </w:rPr>
              <w:t>. Projekta ieviešanas process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6A56C8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Sniegts pārliecinošs un pamatots ražošanas un tehnoloģisko procesu apraksts/pakalpojumu sniegšanas apraksts.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342287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C16ABB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B.2.2.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932C7D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1488AE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5AD9873" w14:textId="47055486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108BB787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658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Sniegts daļēji pārliecinošs un pamatots ražošanas un 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>tehnoloģisko procesu apraksts/pakalpojumu sniegšanas apraksts.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08BD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1AB17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F3DE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870A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4C1070EF" w14:textId="37564D39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7FBE60CB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59456F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Nav sniegts  vai ļoti vāji pamatots ražošanas un tehnoloģisko procesu apraksts/pakalpojumu sniegšanas apraksts.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6D9081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18235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669E4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DD510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140E7CF" w14:textId="397A8B21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2DC960BC" w14:textId="443BF1A3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1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Tirgus analīze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190D2F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Pamatota pieprasījuma izpēte, produkta/pakalpojuma priekšrocības un konkurētspēja. Pārliecinoši analizēts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mērķtirgus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</w:rPr>
              <w:t>,  konkurenti, cenas, preces realizācijas vietas un iespējas. Atbalsta pretendents balstās uz pārbaudāmiem faktiem, pētījumiem u.c. to pamatojot tirgus izpētē.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BF9BF7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343158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B.2.3.</w:t>
            </w:r>
          </w:p>
          <w:p w14:paraId="3855DE6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Pavaddokumenti Nr. 6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8358A8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D38480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07780224" w14:textId="63311D78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4209CF5C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4CA2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Daļēji pamatota pieprasījuma izpēte, produkta/pakalpojuma priekšrocības un konkurētspēja. Apmierinoši analizēts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mērķtirgus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</w:rPr>
              <w:t>,  konkurenti, cenas, preces realizācijas vietas un iespējas. Atbalsta pretendents balstās uz pieņēmumiem.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EEF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E3C31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D8501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4835F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6725E438" w14:textId="5570BA3D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1F6C67E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329981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Nav veikta vai ļoti nepārliecinoši veikta tirgus izpēte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DBC1BF8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89D7B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A9B6A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59132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65478A35" w14:textId="4AC01F9A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33B116AE" w14:textId="256594A3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2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. Projekta riski un risku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izvērtējums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BBFDEF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Uzskaitīti un izvērtēti iespējamie riski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ADA583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5771AB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B.2.4.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93CD2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893B2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8290A39" w14:textId="76AE0ED7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048DFCE8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081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Veikta nepilnīga risku uzskaite, nepārliecinošs to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izvērtējums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B3A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BB7D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CEC98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C549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CC9249C" w14:textId="52C67395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397A195B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1C2B7A1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Nav  risku  uzskaites un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izvērtējuma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AF6DF5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E35F3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4D894F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4CFA97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455DD11A" w14:textId="7E363610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2B8E6E48" w14:textId="431298D5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Projekta ietvaros radītās inovācijas VRG līmenī, saskaņā ar SVVA stratēģijā noteikto definīciju.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*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229926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Produkta, pakalpojuma inovācija (jauna, līdz šim nebijuša produkta vai pakalpojuma radīšana)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FE34A5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DA8F222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B.7., B.7.1.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617F42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C5016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42241C37" w14:textId="20D343A7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3B2BA89D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06488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Procesa inovācija (jauns, būtiski atšķirīgs tehnoloģiskais process vai metode produkta ražošanā vai pakalpojuma izveidē)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728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04717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219B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72DD7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028DA908" w14:textId="51068415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7E5B422B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E0663CF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Resursu inovācija (plānotā darbība būtiski maina vides resursu izmantošanu VRG teritorijā)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62FBD2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78BA3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5640A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5FC3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44068C31" w14:textId="3AAA6523" w:rsidTr="007744CB"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F9A367B" w14:textId="6BEC5910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Projekta ietvaros radītās inovācijas  Latvijas mērogā un plašāk.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A28C45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Produkta, pakalpojuma inovācija (jauna, līdz šim nebijuša produkta vai pakalpojuma radīšana)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901C65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22543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B.7.1.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8882C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F6B34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712DDA47" w14:textId="54497BAB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4A3CFA15" w14:textId="5A555718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bookmarkStart w:id="4" w:name="_Hlk75779325"/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Projekta izmaksu pamatojums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052E002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Plānotās izmaksas ir pamatotas un orientētas uz mērķa sasniegšanu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668612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 punkti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64DAE2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B.10.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6923EC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1A422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bookmarkEnd w:id="4"/>
      <w:tr w:rsidR="007744CB" w:rsidRPr="00B25934" w14:paraId="774835DF" w14:textId="64680B95" w:rsidTr="007744CB">
        <w:tc>
          <w:tcPr>
            <w:tcW w:w="2552" w:type="dxa"/>
            <w:vMerge/>
            <w:tcBorders>
              <w:left w:val="single" w:sz="4" w:space="0" w:color="000000"/>
            </w:tcBorders>
          </w:tcPr>
          <w:p w14:paraId="071BCF41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B50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Plānotās izmaksas ir daļēji pamatotas un orientētas uz plānotā mērķa sasniegšanu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7AC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punkts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6D93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5FDD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14F4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265D8D7A" w14:textId="0F9B7C8A" w:rsidTr="007744CB">
        <w:tc>
          <w:tcPr>
            <w:tcW w:w="2552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847A7DF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FFFD33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Plānotās izmaksas nav pamatotas un orientētas uz plānotā mērķa sasniegšanu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457414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punkti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6FCEC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E357A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05658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5A134BC" w14:textId="7914594F" w:rsidTr="007744CB">
        <w:tc>
          <w:tcPr>
            <w:tcW w:w="255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5696" w14:textId="3BAAF170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Plānoto saimnieciskās darbības rādītāju izvērtēšana</w:t>
            </w:r>
          </w:p>
        </w:tc>
        <w:tc>
          <w:tcPr>
            <w:tcW w:w="46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AD7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Par vienu darba vietu tiek skaitīta darbavieta ar darba līgumu vismaz uz gadu ar darbiniekam noteiktu normālo darba laiku vai </w:t>
            </w:r>
            <w:proofErr w:type="spellStart"/>
            <w:r w:rsidRPr="00B25934">
              <w:rPr>
                <w:rFonts w:ascii="Times New Roman" w:eastAsia="Calibri" w:hAnsi="Times New Roman" w:cs="Times New Roman"/>
                <w:sz w:val="24"/>
              </w:rPr>
              <w:t>pašnodarbinātas</w:t>
            </w:r>
            <w:proofErr w:type="spellEnd"/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 personas saimnieciskās darbības uzsākšana, vai vairākas darbavietas sezonas rakstura darbu veikšanai, kurās kopā 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>nostrādāto stundu skaits kalendārā gada griezumā atbilst normālam darba laikam.</w:t>
            </w:r>
          </w:p>
          <w:p w14:paraId="2D4A29D0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Darba vietu novērtējumā jāņem vērā pretendentu iepriekš apstiprinātajos projektos noteiktais darba vietu skaits.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CEF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>C.2.</w:t>
            </w:r>
          </w:p>
          <w:p w14:paraId="653B326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2B0A3EC4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43169D6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FA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C2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9969AF8" w14:textId="1E4C69D3" w:rsidTr="007744C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0F29B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3C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Projekta rezultātā tiek radītas vismaz 2 jaunas pilna laika darba vietas saglabājot esošās, sniegts apraksts par darba vietām (nosaukto darba vietu skaitam jābūt adekvātam projekta saturam).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F6FF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2 punkti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8D32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33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31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07E29DC" w14:textId="1D0B2E6D" w:rsidTr="007744C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F3D7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271E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Projekta rezultātā tiek radītas vismaz 1 jauna pilna laika darba vieta saglabājot esošās, sniegts apraksts par darba vietām (nosaukto darba vietu skaitam jābūt adekvātam projekta saturam).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839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1.5 punkti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129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3B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C1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0B1AD5CA" w14:textId="243C12C0" w:rsidTr="007744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18B232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578E768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Plānota tikai apgrozījuma palielināšana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A523FF1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 punkts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06C0579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9452AB7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FA80E2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4228BAA3" w14:textId="5D3446DC" w:rsidTr="007744CB"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F887044" w14:textId="33DC24D5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bookmarkStart w:id="5" w:name="_Hlk75779572"/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7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Projekta ieguldījums kultūrvēsturiskā mantojuma saglabāšanā un atjaunošanā.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04797E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Projekta aktivitātes paredz darbības, kas tieši ietekmē kultūrvēsturiskā mantojuma saglabāšanu un atjaunošanu.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59C33EA" w14:textId="3764FDA6" w:rsidR="007744CB" w:rsidRPr="00B25934" w:rsidRDefault="00386143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7744CB" w:rsidRPr="00B25934">
              <w:rPr>
                <w:rFonts w:ascii="Times New Roman" w:eastAsia="Calibri" w:hAnsi="Times New Roman" w:cs="Times New Roman"/>
                <w:sz w:val="24"/>
              </w:rPr>
              <w:t xml:space="preserve"> punkt</w:t>
            </w: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480898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B. 2.7.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5C1063D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98F4B7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2074EEE9" w14:textId="494E5956" w:rsidTr="007744CB"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F8CDAB4" w14:textId="38F7B70B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Sociālās uzņēmējdarbības attīstība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.*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9AEFCEA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Atbalsta pretendents ir saņēmis sociālā uzņēmuma statusu.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9296876" w14:textId="0277644E" w:rsidR="007744CB" w:rsidRPr="00B25934" w:rsidRDefault="00386143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7744CB" w:rsidRPr="00B25934">
              <w:rPr>
                <w:rFonts w:ascii="Times New Roman" w:eastAsia="Calibri" w:hAnsi="Times New Roman" w:cs="Times New Roman"/>
                <w:sz w:val="24"/>
              </w:rPr>
              <w:t xml:space="preserve"> punkt</w:t>
            </w: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24994D56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B.2.7.</w:t>
            </w:r>
          </w:p>
          <w:p w14:paraId="2838A73F" w14:textId="77777777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LM Sociālo uzņēmumu reģistrs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16FBF13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DC61AEC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744CB" w:rsidRPr="00B25934" w14:paraId="502D21A9" w14:textId="1403B20B" w:rsidTr="007744CB"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0FE1E03" w14:textId="3BC516D6" w:rsidR="007744CB" w:rsidRPr="00B25934" w:rsidRDefault="007744CB" w:rsidP="007744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9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t>. Klimata pārmaiņu ietekme</w:t>
            </w:r>
            <w:r w:rsidR="00386143">
              <w:rPr>
                <w:rFonts w:ascii="Times New Roman" w:eastAsia="Calibri" w:hAnsi="Times New Roman" w:cs="Times New Roman"/>
                <w:sz w:val="24"/>
              </w:rPr>
              <w:t>.*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FD229DC" w14:textId="77777777" w:rsidR="007744CB" w:rsidRPr="00B25934" w:rsidRDefault="007744CB" w:rsidP="007744CB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 xml:space="preserve">Projekta īstenošana sekmē mērķu sasniegšanu saistībā ar klimata pārmaiņām (atjaunojamā enerģija, biomasa, bioloģisko </w:t>
            </w:r>
            <w:r w:rsidRPr="00B25934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produktu ražošana, aprites ekonomika)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C9CD5C7" w14:textId="60091980" w:rsidR="007744CB" w:rsidRPr="00B25934" w:rsidRDefault="00386143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</w:t>
            </w:r>
            <w:r w:rsidR="007744CB" w:rsidRPr="00B25934">
              <w:rPr>
                <w:rFonts w:ascii="Times New Roman" w:eastAsia="Calibri" w:hAnsi="Times New Roman" w:cs="Times New Roman"/>
                <w:sz w:val="24"/>
              </w:rPr>
              <w:t xml:space="preserve"> punkt</w:t>
            </w:r>
            <w:r>
              <w:rPr>
                <w:rFonts w:ascii="Times New Roman" w:eastAsia="Calibri" w:hAnsi="Times New Roman" w:cs="Times New Roman"/>
                <w:sz w:val="24"/>
              </w:rPr>
              <w:t>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7C2330B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25934">
              <w:rPr>
                <w:rFonts w:ascii="Times New Roman" w:eastAsia="Calibri" w:hAnsi="Times New Roman" w:cs="Times New Roman"/>
                <w:sz w:val="24"/>
              </w:rPr>
              <w:t>B.6.1.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62B6A2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D20F75" w14:textId="77777777" w:rsidR="007744CB" w:rsidRPr="00B25934" w:rsidRDefault="007744CB" w:rsidP="00774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86143" w:rsidRPr="00B25934" w14:paraId="7C5070E6" w14:textId="77777777" w:rsidTr="008977D2"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1C9FB53" w14:textId="14997527" w:rsidR="00386143" w:rsidRPr="00B25934" w:rsidRDefault="00386143" w:rsidP="00A540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  <w:r w:rsidRPr="00A540A4">
              <w:rPr>
                <w:rFonts w:ascii="Times New Roman" w:eastAsia="Calibri" w:hAnsi="Times New Roman" w:cs="Times New Roman"/>
                <w:sz w:val="24"/>
              </w:rPr>
              <w:t>. Īpašais projektu vērtēšanas kritērijs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A540A4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CBB4F8E" w14:textId="48FB7848" w:rsidR="00386143" w:rsidRPr="00B25934" w:rsidRDefault="00386143" w:rsidP="00A540A4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40A4">
              <w:rPr>
                <w:rFonts w:ascii="Times New Roman" w:eastAsia="Calibri" w:hAnsi="Times New Roman" w:cs="Times New Roman"/>
                <w:sz w:val="24"/>
              </w:rPr>
              <w:t>Pielietojams, ja vairāki projekti ieguvuši vienādu punktu skaitu – ņem vērā vidējo novērtējumu kritērijos Nr.3., 8., 10., un 12.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2C16BC4" w14:textId="0212EFCC" w:rsidR="00386143" w:rsidRPr="00B25934" w:rsidRDefault="00386143" w:rsidP="00A54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40A4">
              <w:rPr>
                <w:rFonts w:ascii="Times New Roman" w:eastAsia="Calibri" w:hAnsi="Times New Roman" w:cs="Times New Roman"/>
                <w:sz w:val="24"/>
              </w:rPr>
              <w:t>Projektam, kurš minētajos kritērijos iegūst augstāku vidējo vērtējumu papildu tiek piešķirts 0.01 punkts.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15040CF" w14:textId="77777777" w:rsidR="00386143" w:rsidRPr="00B25934" w:rsidRDefault="00386143" w:rsidP="00A54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ED2E963" w14:textId="77777777" w:rsidR="00386143" w:rsidRPr="00B25934" w:rsidRDefault="00386143" w:rsidP="00A54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bookmarkEnd w:id="5"/>
    <w:p w14:paraId="20340472" w14:textId="5B83CD4B" w:rsidR="00386143" w:rsidRPr="00386143" w:rsidRDefault="00386143" w:rsidP="007744CB">
      <w:pPr>
        <w:rPr>
          <w:rFonts w:ascii="Times New Roman" w:eastAsia="Calibri" w:hAnsi="Times New Roman" w:cs="Times New Roman"/>
          <w:sz w:val="24"/>
          <w:szCs w:val="24"/>
        </w:rPr>
      </w:pPr>
      <w:r w:rsidRPr="00386143">
        <w:rPr>
          <w:rFonts w:ascii="Times New Roman" w:eastAsia="Calibri" w:hAnsi="Times New Roman" w:cs="Times New Roman"/>
          <w:sz w:val="24"/>
          <w:szCs w:val="24"/>
        </w:rPr>
        <w:t>* punkti tiek piešķirti papildu, ja uz konkrēto projektu neattiecās neviens novērtējums, tad projektam tiek piešķirti 0 punkti.</w:t>
      </w:r>
    </w:p>
    <w:p w14:paraId="5C94F593" w14:textId="78195CCE" w:rsidR="00C70DC1" w:rsidRPr="00C70DC1" w:rsidRDefault="00B25934" w:rsidP="007744CB">
      <w:pPr>
        <w:rPr>
          <w:rFonts w:ascii="Times New Roman" w:hAnsi="Times New Roman" w:cs="Times New Roman"/>
        </w:rPr>
      </w:pPr>
      <w:r w:rsidRPr="00B25934">
        <w:rPr>
          <w:rFonts w:ascii="Times New Roman" w:eastAsia="Calibri" w:hAnsi="Times New Roman" w:cs="Times New Roman"/>
          <w:sz w:val="24"/>
          <w:szCs w:val="24"/>
          <w:u w:val="single"/>
        </w:rPr>
        <w:t>Minimālais punktu skaits lēmuma pieņemšanai par projekta apstiprināšanu ir 1</w:t>
      </w:r>
      <w:r w:rsidR="00386143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B2593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punkti.</w:t>
      </w:r>
    </w:p>
    <w:sectPr w:rsidR="00C70DC1" w:rsidRPr="00C70DC1" w:rsidSect="0010642D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4E114" w14:textId="77777777" w:rsidR="0081490F" w:rsidRDefault="0081490F" w:rsidP="0010642D">
      <w:pPr>
        <w:spacing w:after="0" w:line="240" w:lineRule="auto"/>
      </w:pPr>
      <w:r>
        <w:separator/>
      </w:r>
    </w:p>
  </w:endnote>
  <w:endnote w:type="continuationSeparator" w:id="0">
    <w:p w14:paraId="2024EE83" w14:textId="77777777" w:rsidR="0081490F" w:rsidRDefault="0081490F" w:rsidP="001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3F9A" w14:textId="77777777" w:rsidR="0081490F" w:rsidRDefault="0081490F" w:rsidP="0010642D">
      <w:pPr>
        <w:spacing w:after="0" w:line="240" w:lineRule="auto"/>
      </w:pPr>
      <w:r>
        <w:separator/>
      </w:r>
    </w:p>
  </w:footnote>
  <w:footnote w:type="continuationSeparator" w:id="0">
    <w:p w14:paraId="64BDA0A6" w14:textId="77777777" w:rsidR="0081490F" w:rsidRDefault="0081490F" w:rsidP="0010642D">
      <w:pPr>
        <w:spacing w:after="0" w:line="240" w:lineRule="auto"/>
      </w:pPr>
      <w:r>
        <w:continuationSeparator/>
      </w:r>
    </w:p>
  </w:footnote>
  <w:footnote w:id="1">
    <w:p w14:paraId="024A70CE" w14:textId="77777777" w:rsidR="00B25934" w:rsidRPr="00156F8E" w:rsidRDefault="00B25934" w:rsidP="00B25934">
      <w:pPr>
        <w:pStyle w:val="FootnoteText1"/>
        <w:rPr>
          <w:lang w:val="lv-LV"/>
        </w:rPr>
      </w:pPr>
      <w:r w:rsidRPr="007712D4">
        <w:rPr>
          <w:rStyle w:val="FootnoteReference"/>
        </w:rPr>
        <w:footnoteRef/>
      </w:r>
      <w:r w:rsidRPr="007712D4">
        <w:t xml:space="preserve"> </w:t>
      </w:r>
      <w:r w:rsidRPr="007712D4">
        <w:rPr>
          <w:lang w:val="lv-LV"/>
        </w:rPr>
        <w:t xml:space="preserve">Projektu vērtēšanas komisija ņem vērā tikai to informāciju, kas ir norādīta atbilstošajā veidlapas sadaļā. Pie </w:t>
      </w:r>
      <w:proofErr w:type="spellStart"/>
      <w:r w:rsidRPr="007712D4">
        <w:rPr>
          <w:lang w:val="lv-LV"/>
        </w:rPr>
        <w:t>Pavaddokumetiem</w:t>
      </w:r>
      <w:proofErr w:type="spellEnd"/>
      <w:r w:rsidRPr="007712D4">
        <w:rPr>
          <w:lang w:val="lv-LV"/>
        </w:rPr>
        <w:t xml:space="preserve"> sadaļā Nr.13. Citi ņem vērā tikai fotoattēlus, ja atbalsta pretendents tos ir pievienojis, lai labāk raksturotu un atspoguļotu projekta ideju.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B5D6E"/>
    <w:multiLevelType w:val="hybridMultilevel"/>
    <w:tmpl w:val="EA7E8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05494"/>
    <w:multiLevelType w:val="hybridMultilevel"/>
    <w:tmpl w:val="A1DAA536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077B0"/>
    <w:rsid w:val="000329DA"/>
    <w:rsid w:val="00060E52"/>
    <w:rsid w:val="0010642D"/>
    <w:rsid w:val="00124EDF"/>
    <w:rsid w:val="001F595B"/>
    <w:rsid w:val="002D6970"/>
    <w:rsid w:val="00386143"/>
    <w:rsid w:val="004017AE"/>
    <w:rsid w:val="004064BB"/>
    <w:rsid w:val="00417989"/>
    <w:rsid w:val="00417A4C"/>
    <w:rsid w:val="004328B0"/>
    <w:rsid w:val="00443C32"/>
    <w:rsid w:val="00444D67"/>
    <w:rsid w:val="00462D67"/>
    <w:rsid w:val="005032FE"/>
    <w:rsid w:val="005462D0"/>
    <w:rsid w:val="005A5853"/>
    <w:rsid w:val="00634EF0"/>
    <w:rsid w:val="00640825"/>
    <w:rsid w:val="00643F29"/>
    <w:rsid w:val="00692BF4"/>
    <w:rsid w:val="006D5FEC"/>
    <w:rsid w:val="007126D1"/>
    <w:rsid w:val="007744CB"/>
    <w:rsid w:val="00787EEF"/>
    <w:rsid w:val="007D1FF6"/>
    <w:rsid w:val="007F2593"/>
    <w:rsid w:val="0081024B"/>
    <w:rsid w:val="0081490F"/>
    <w:rsid w:val="0082148D"/>
    <w:rsid w:val="008928CE"/>
    <w:rsid w:val="008B4800"/>
    <w:rsid w:val="008D3F1B"/>
    <w:rsid w:val="009208DA"/>
    <w:rsid w:val="009875F6"/>
    <w:rsid w:val="009C5B6B"/>
    <w:rsid w:val="009D461D"/>
    <w:rsid w:val="009E1713"/>
    <w:rsid w:val="00A540A4"/>
    <w:rsid w:val="00A74426"/>
    <w:rsid w:val="00B25934"/>
    <w:rsid w:val="00B60118"/>
    <w:rsid w:val="00B631C0"/>
    <w:rsid w:val="00B778C7"/>
    <w:rsid w:val="00B93348"/>
    <w:rsid w:val="00C3695C"/>
    <w:rsid w:val="00C47AE1"/>
    <w:rsid w:val="00C70DC1"/>
    <w:rsid w:val="00CB4B78"/>
    <w:rsid w:val="00CB4E3C"/>
    <w:rsid w:val="00DA3194"/>
    <w:rsid w:val="00DF2AF2"/>
    <w:rsid w:val="00E66BE6"/>
    <w:rsid w:val="00E82606"/>
    <w:rsid w:val="00ED18A8"/>
    <w:rsid w:val="00F15056"/>
    <w:rsid w:val="00F24D14"/>
    <w:rsid w:val="00F6194E"/>
    <w:rsid w:val="00F62858"/>
    <w:rsid w:val="00F91805"/>
    <w:rsid w:val="00F93C23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A84FC"/>
  <w15:docId w15:val="{1682B114-A408-4CAC-9155-400D5E2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D67"/>
  </w:style>
  <w:style w:type="paragraph" w:styleId="Heading1">
    <w:name w:val="heading 1"/>
    <w:basedOn w:val="Normal"/>
    <w:next w:val="Normal"/>
    <w:link w:val="Heading1Char"/>
    <w:uiPriority w:val="9"/>
    <w:qFormat/>
    <w:rsid w:val="00444D67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52"/>
    <w:pPr>
      <w:ind w:left="720"/>
      <w:contextualSpacing/>
    </w:pPr>
  </w:style>
  <w:style w:type="table" w:styleId="TableGrid">
    <w:name w:val="Table Grid"/>
    <w:basedOn w:val="TableNormal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18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4D67"/>
    <w:rPr>
      <w:rFonts w:ascii="Times New Roman" w:eastAsiaTheme="majorEastAsia" w:hAnsi="Times New Roman" w:cstheme="majorBidi"/>
      <w:b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6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42D"/>
  </w:style>
  <w:style w:type="paragraph" w:styleId="Footer">
    <w:name w:val="footer"/>
    <w:basedOn w:val="Normal"/>
    <w:link w:val="FooterChar"/>
    <w:uiPriority w:val="99"/>
    <w:unhideWhenUsed/>
    <w:rsid w:val="001064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42D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25934"/>
    <w:pPr>
      <w:spacing w:after="0" w:line="240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25934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2593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2593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259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5095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Krumkalna</dc:creator>
  <cp:lastModifiedBy>Lāsma Stūrmane</cp:lastModifiedBy>
  <cp:revision>2</cp:revision>
  <cp:lastPrinted>2016-02-08T11:59:00Z</cp:lastPrinted>
  <dcterms:created xsi:type="dcterms:W3CDTF">2022-03-31T15:19:00Z</dcterms:created>
  <dcterms:modified xsi:type="dcterms:W3CDTF">2022-03-31T15:19:00Z</dcterms:modified>
</cp:coreProperties>
</file>