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44217749"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1E2316">
        <w:rPr>
          <w:rFonts w:ascii="Cambria" w:eastAsia="Times New Roman" w:hAnsi="Cambria" w:cs="Times New Roman"/>
          <w:b/>
          <w:sz w:val="20"/>
          <w:szCs w:val="20"/>
          <w:lang w:val="nb-NO" w:eastAsia="zh-CN"/>
        </w:rPr>
        <w:t>2</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1E2316" w:rsidRPr="001E2316">
        <w:rPr>
          <w:rFonts w:ascii="Cambria" w:eastAsia="Times New Roman" w:hAnsi="Cambria" w:cs="Times New Roman"/>
          <w:bCs/>
          <w:sz w:val="20"/>
          <w:szCs w:val="20"/>
          <w:lang w:eastAsia="zh-CN"/>
        </w:rPr>
        <w:t>Jaunu pakalpojumu izveidošana, to pieejamības uzlabošana</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540DE25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33B1790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3A7BDAD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40674A1B" w14:textId="67F1C098" w:rsidTr="000B29E7">
        <w:trPr>
          <w:trHeight w:val="242"/>
        </w:trPr>
        <w:tc>
          <w:tcPr>
            <w:tcW w:w="988" w:type="dxa"/>
            <w:shd w:val="clear" w:color="auto" w:fill="FFFFFF" w:themeFill="background1"/>
            <w:noWrap/>
          </w:tcPr>
          <w:p w14:paraId="793759E3" w14:textId="53175E3E"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21C5786B"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Projektā plānotās aktivitātes ir savstarpēji saskaņotas un loģiskā secībā. Pielikumā ir pievienots detalizēts laika grafiks</w:t>
            </w:r>
          </w:p>
        </w:tc>
        <w:tc>
          <w:tcPr>
            <w:tcW w:w="709" w:type="dxa"/>
            <w:shd w:val="clear" w:color="auto" w:fill="FFFFFF" w:themeFill="background1"/>
          </w:tcPr>
          <w:p w14:paraId="63030910"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C14EB7" w:rsidRPr="00C67E07" w:rsidRDefault="00C14EB7" w:rsidP="00C14EB7">
            <w:pPr>
              <w:suppressAutoHyphens/>
              <w:rPr>
                <w:rFonts w:ascii="Cambria" w:hAnsi="Cambria" w:cs="Calibri Light"/>
                <w:sz w:val="18"/>
                <w:szCs w:val="18"/>
                <w:lang w:val="nb-NO" w:eastAsia="zh-CN"/>
              </w:rPr>
            </w:pPr>
          </w:p>
        </w:tc>
        <w:tc>
          <w:tcPr>
            <w:tcW w:w="2126" w:type="dxa"/>
            <w:vMerge w:val="restart"/>
            <w:noWrap/>
          </w:tcPr>
          <w:p w14:paraId="2E925F85" w14:textId="77777777" w:rsidR="00C14EB7" w:rsidRPr="00C67E07" w:rsidRDefault="00C14EB7" w:rsidP="00C14EB7">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Pr>
          <w:p w14:paraId="407673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3A23CDD" w14:textId="1B2DEED4" w:rsidTr="000B29E7">
        <w:trPr>
          <w:trHeight w:val="242"/>
        </w:trPr>
        <w:tc>
          <w:tcPr>
            <w:tcW w:w="988" w:type="dxa"/>
            <w:shd w:val="clear" w:color="auto" w:fill="FFFFFF" w:themeFill="background1"/>
            <w:noWrap/>
          </w:tcPr>
          <w:p w14:paraId="5592D103" w14:textId="30A403F5"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1034F391"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ir atbilstošas laika grafikam. Pielikumā nav pievienots detalizēts laika grafiks</w:t>
            </w:r>
          </w:p>
        </w:tc>
        <w:tc>
          <w:tcPr>
            <w:tcW w:w="709" w:type="dxa"/>
            <w:shd w:val="clear" w:color="auto" w:fill="FFFFFF" w:themeFill="background1"/>
          </w:tcPr>
          <w:p w14:paraId="6EB4908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FC6406C"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EF7413F"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2FEE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2EB441ED" w14:textId="65D1A9F6" w:rsidTr="000B29E7">
        <w:trPr>
          <w:trHeight w:val="242"/>
        </w:trPr>
        <w:tc>
          <w:tcPr>
            <w:tcW w:w="988" w:type="dxa"/>
            <w:shd w:val="clear" w:color="auto" w:fill="FFFFFF" w:themeFill="background1"/>
            <w:noWrap/>
          </w:tcPr>
          <w:p w14:paraId="5205A4A7" w14:textId="0C3EC7BA"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.3.</w:t>
            </w:r>
          </w:p>
        </w:tc>
        <w:tc>
          <w:tcPr>
            <w:tcW w:w="6520" w:type="dxa"/>
            <w:gridSpan w:val="4"/>
          </w:tcPr>
          <w:p w14:paraId="3D8A879D" w14:textId="2F139FAA"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nav atbilstošas laika grafikam un nav loģiska secība aktivitāšu realizēšanā</w:t>
            </w:r>
          </w:p>
        </w:tc>
        <w:tc>
          <w:tcPr>
            <w:tcW w:w="709" w:type="dxa"/>
            <w:shd w:val="clear" w:color="auto" w:fill="FFFFFF" w:themeFill="background1"/>
          </w:tcPr>
          <w:p w14:paraId="06816FED"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D10F5D9"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50A450E"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37722C3E"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6CC5102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3F097ED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3B9C2EC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770F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63C86BD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E5AE94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03AAEF9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378218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1B6D4F60" w14:textId="62454E2F" w:rsidTr="00421049">
        <w:trPr>
          <w:trHeight w:val="86"/>
        </w:trPr>
        <w:tc>
          <w:tcPr>
            <w:tcW w:w="988" w:type="dxa"/>
            <w:shd w:val="clear" w:color="auto" w:fill="FFFFFF" w:themeFill="background1"/>
            <w:noWrap/>
          </w:tcPr>
          <w:p w14:paraId="7EC7EAE9" w14:textId="722E8D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3818BF99"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bCs/>
                <w:sz w:val="18"/>
                <w:szCs w:val="18"/>
                <w:lang w:val="nb-NO" w:eastAsia="zh-CN"/>
              </w:rPr>
              <w:t xml:space="preserve">Projektam pievienots ideju paskaidrojošs vizuālais risinājums - pašu </w:t>
            </w:r>
            <w:r w:rsidRPr="00C14EB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14EB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7E91CB4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noWrap/>
          </w:tcPr>
          <w:p w14:paraId="3A3196A7"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17D54AF3"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497543BE" w14:textId="6CA91900" w:rsidTr="008478A8">
        <w:trPr>
          <w:trHeight w:val="242"/>
        </w:trPr>
        <w:tc>
          <w:tcPr>
            <w:tcW w:w="988" w:type="dxa"/>
            <w:shd w:val="clear" w:color="auto" w:fill="FFFFFF" w:themeFill="background1"/>
            <w:noWrap/>
          </w:tcPr>
          <w:p w14:paraId="4B8ACD06" w14:textId="74CDD0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17E0A55E"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 ideju vizuālais atspoguļojums nepilnīgs, nav pievienota pašu zīmēta skice, attēli, maketu foto vai datordizaina tehnikā sagatavots materiāls</w:t>
            </w:r>
          </w:p>
        </w:tc>
        <w:tc>
          <w:tcPr>
            <w:tcW w:w="709" w:type="dxa"/>
            <w:shd w:val="clear" w:color="auto" w:fill="FFFFFF" w:themeFill="background1"/>
          </w:tcPr>
          <w:p w14:paraId="34145B2E" w14:textId="60E1D2D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shd w:val="clear" w:color="auto" w:fill="FFFFFF" w:themeFill="background1"/>
            <w:noWrap/>
          </w:tcPr>
          <w:p w14:paraId="0BFAD44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30AF2042"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3CD4E9A0"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2E311534"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9C44B6F" w14:textId="77777777" w:rsidTr="000B29E7">
        <w:trPr>
          <w:trHeight w:val="242"/>
        </w:trPr>
        <w:tc>
          <w:tcPr>
            <w:tcW w:w="988" w:type="dxa"/>
            <w:shd w:val="clear" w:color="auto" w:fill="FFFFFF" w:themeFill="background1"/>
            <w:noWrap/>
          </w:tcPr>
          <w:p w14:paraId="7A459791" w14:textId="7958818D"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12.3</w:t>
            </w:r>
          </w:p>
        </w:tc>
        <w:tc>
          <w:tcPr>
            <w:tcW w:w="6520" w:type="dxa"/>
            <w:gridSpan w:val="4"/>
            <w:shd w:val="clear" w:color="auto" w:fill="FFFFFF" w:themeFill="background1"/>
          </w:tcPr>
          <w:p w14:paraId="5AD49DBF" w14:textId="2034BBC0"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29B47CD5" w14:textId="5262B50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C25C60F"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202BD64A"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4CC88822"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441B637B"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63A71DB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5958B02C" w14:textId="6DD5AF81" w:rsidTr="000B29E7">
        <w:trPr>
          <w:trHeight w:val="242"/>
        </w:trPr>
        <w:tc>
          <w:tcPr>
            <w:tcW w:w="988" w:type="dxa"/>
            <w:shd w:val="clear" w:color="auto" w:fill="FFFFFF" w:themeFill="background1"/>
            <w:noWrap/>
          </w:tcPr>
          <w:p w14:paraId="09E038EB" w14:textId="35E56124"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tcPr>
          <w:p w14:paraId="79F4580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noWrap/>
          </w:tcPr>
          <w:p w14:paraId="70B54D62"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noWrap/>
          </w:tcPr>
          <w:p w14:paraId="76669B17" w14:textId="0732BE6B"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sz w:val="18"/>
                <w:szCs w:val="18"/>
                <w:lang w:val="nb-NO" w:eastAsia="zh-CN"/>
              </w:rPr>
              <w:t xml:space="preserve">Vērtējot atbalsta pretendenta projektu </w:t>
            </w:r>
            <w:r w:rsidRPr="00C14EB7">
              <w:rPr>
                <w:rFonts w:ascii="Cambria" w:hAnsi="Cambria" w:cs="Calibri Light"/>
                <w:sz w:val="18"/>
                <w:szCs w:val="18"/>
                <w:lang w:val="nb-NO" w:eastAsia="zh-CN"/>
              </w:rPr>
              <w:lastRenderedPageBreak/>
              <w:t>īstenošanas pieredzi, tiek ņemti vērā projekti, kas iesniegti ELFLA fonda SVVA stratēģijas īstenošanas perioda 2023.-2027. ietvaros</w:t>
            </w:r>
          </w:p>
        </w:tc>
        <w:tc>
          <w:tcPr>
            <w:tcW w:w="567" w:type="dxa"/>
            <w:vMerge w:val="restart"/>
            <w:tcBorders>
              <w:top w:val="nil"/>
            </w:tcBorders>
          </w:tcPr>
          <w:p w14:paraId="64FCC103"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43A53E48" w14:textId="50579D83" w:rsidTr="000B29E7">
        <w:trPr>
          <w:trHeight w:val="242"/>
        </w:trPr>
        <w:tc>
          <w:tcPr>
            <w:tcW w:w="988" w:type="dxa"/>
            <w:shd w:val="clear" w:color="auto" w:fill="FFFFFF" w:themeFill="background1"/>
            <w:noWrap/>
          </w:tcPr>
          <w:p w14:paraId="3A6B7AB3" w14:textId="2E4A9D1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tcPr>
          <w:p w14:paraId="484F026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2A94000B"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0AD25F78"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4FBE78C8"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29D3B"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DF25700" w14:textId="3296B6D4" w:rsidTr="003D2B01">
        <w:trPr>
          <w:trHeight w:val="242"/>
        </w:trPr>
        <w:tc>
          <w:tcPr>
            <w:tcW w:w="988" w:type="dxa"/>
            <w:shd w:val="clear" w:color="auto" w:fill="CCC0D9"/>
            <w:noWrap/>
          </w:tcPr>
          <w:p w14:paraId="35533922" w14:textId="680C0748"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6AA4487B" w14:textId="5D4574DD" w:rsidTr="000B29E7">
        <w:trPr>
          <w:trHeight w:val="242"/>
        </w:trPr>
        <w:tc>
          <w:tcPr>
            <w:tcW w:w="988" w:type="dxa"/>
            <w:shd w:val="clear" w:color="auto" w:fill="FFFFFF" w:themeFill="background1"/>
            <w:noWrap/>
          </w:tcPr>
          <w:p w14:paraId="05008E8B" w14:textId="41D3F015"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tcPr>
          <w:p w14:paraId="5873752B"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C14EB7" w:rsidRPr="00C67E07" w:rsidRDefault="00C14EB7" w:rsidP="00C14EB7">
            <w:pPr>
              <w:suppressAutoHyphens/>
              <w:spacing w:after="120"/>
              <w:rPr>
                <w:rFonts w:ascii="Cambria" w:hAnsi="Cambria" w:cs="Calibri Light"/>
                <w:sz w:val="18"/>
                <w:szCs w:val="18"/>
                <w:lang w:val="nb-NO" w:eastAsia="zh-CN"/>
              </w:rPr>
            </w:pPr>
          </w:p>
          <w:p w14:paraId="7E9664C1"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Pr>
          <w:p w14:paraId="200F5927" w14:textId="77777777" w:rsidR="00C14EB7" w:rsidRPr="003201D3" w:rsidRDefault="00C14EB7" w:rsidP="00C14EB7">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C14EB7" w:rsidRPr="003201D3" w:rsidRDefault="00C14EB7" w:rsidP="00C14EB7">
            <w:pPr>
              <w:suppressAutoHyphens/>
              <w:spacing w:after="120"/>
              <w:rPr>
                <w:rFonts w:ascii="Cambria" w:hAnsi="Cambria" w:cs="Calibri Light"/>
                <w:bCs/>
                <w:sz w:val="18"/>
                <w:szCs w:val="18"/>
                <w:lang w:val="nb-NO" w:eastAsia="zh-CN"/>
              </w:rPr>
            </w:pPr>
          </w:p>
        </w:tc>
      </w:tr>
      <w:tr w:rsidR="00C14EB7" w:rsidRPr="00C67E07" w14:paraId="6809F0FD" w14:textId="5D2DD8DF" w:rsidTr="000B29E7">
        <w:trPr>
          <w:trHeight w:val="242"/>
        </w:trPr>
        <w:tc>
          <w:tcPr>
            <w:tcW w:w="988" w:type="dxa"/>
            <w:shd w:val="clear" w:color="auto" w:fill="FFFFFF" w:themeFill="background1"/>
            <w:noWrap/>
          </w:tcPr>
          <w:p w14:paraId="3B7D8700" w14:textId="085CD4E3"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523F78CB"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BAD0FF1"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2E5CA1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452E40D" w14:textId="048791FB" w:rsidTr="003D2B01">
        <w:trPr>
          <w:trHeight w:val="242"/>
        </w:trPr>
        <w:tc>
          <w:tcPr>
            <w:tcW w:w="988" w:type="dxa"/>
            <w:shd w:val="clear" w:color="auto" w:fill="CCC0D9"/>
            <w:noWrap/>
          </w:tcPr>
          <w:p w14:paraId="606F13AB" w14:textId="32CD7ACA"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70F6A133" w14:textId="47A5AFBF" w:rsidTr="000B29E7">
        <w:trPr>
          <w:trHeight w:val="612"/>
        </w:trPr>
        <w:tc>
          <w:tcPr>
            <w:tcW w:w="988" w:type="dxa"/>
            <w:shd w:val="clear" w:color="auto" w:fill="FFFFFF" w:themeFill="background1"/>
            <w:noWrap/>
          </w:tcPr>
          <w:p w14:paraId="4B0374BA" w14:textId="6C438B8E"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tcPr>
          <w:p w14:paraId="5EA1F1A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noWrap/>
          </w:tcPr>
          <w:p w14:paraId="2FFC97C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noWrap/>
          </w:tcPr>
          <w:p w14:paraId="08582D67"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4542E337" w14:textId="479C2544" w:rsidTr="005D6066">
        <w:trPr>
          <w:trHeight w:val="612"/>
        </w:trPr>
        <w:tc>
          <w:tcPr>
            <w:tcW w:w="988" w:type="dxa"/>
            <w:shd w:val="clear" w:color="auto" w:fill="FFFFFF" w:themeFill="background1"/>
            <w:noWrap/>
          </w:tcPr>
          <w:p w14:paraId="40931F42" w14:textId="1F57760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tcPr>
          <w:p w14:paraId="6722F8D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noWrap/>
          </w:tcPr>
          <w:p w14:paraId="2FB1A590"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top w:val="nil"/>
            </w:tcBorders>
            <w:noWrap/>
          </w:tcPr>
          <w:p w14:paraId="4D295230"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57E7137C"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E74E0"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30E55C49" w14:textId="78E680AD" w:rsidTr="003D2B01">
        <w:trPr>
          <w:trHeight w:val="276"/>
        </w:trPr>
        <w:tc>
          <w:tcPr>
            <w:tcW w:w="11619" w:type="dxa"/>
            <w:gridSpan w:val="8"/>
            <w:shd w:val="clear" w:color="auto" w:fill="E5DFEC"/>
            <w:noWrap/>
          </w:tcPr>
          <w:p w14:paraId="32137E69"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86A2856" w14:textId="56435B45" w:rsidTr="003D2B01">
        <w:trPr>
          <w:trHeight w:val="276"/>
        </w:trPr>
        <w:tc>
          <w:tcPr>
            <w:tcW w:w="988" w:type="dxa"/>
            <w:shd w:val="clear" w:color="auto" w:fill="CCC0D9"/>
            <w:noWrap/>
          </w:tcPr>
          <w:p w14:paraId="6A1223B3" w14:textId="0973C2DB"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F739D38" w14:textId="3CAB2604" w:rsidTr="000B29E7">
        <w:trPr>
          <w:trHeight w:val="276"/>
        </w:trPr>
        <w:tc>
          <w:tcPr>
            <w:tcW w:w="988" w:type="dxa"/>
            <w:shd w:val="clear" w:color="auto" w:fill="FFFFFF" w:themeFill="background1"/>
            <w:noWrap/>
          </w:tcPr>
          <w:p w14:paraId="0B9A28E9" w14:textId="5F9D6978"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0E2DE247" w14:textId="77777777" w:rsidR="00C14EB7" w:rsidRPr="00C14EB7" w:rsidRDefault="00C14EB7" w:rsidP="00C14EB7">
            <w:pPr>
              <w:suppressAutoHyphens/>
              <w:rPr>
                <w:rFonts w:ascii="Cambria" w:hAnsi="Cambria"/>
                <w:bCs/>
                <w:sz w:val="18"/>
                <w:szCs w:val="18"/>
              </w:rPr>
            </w:pPr>
            <w:r w:rsidRPr="00C14EB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14EB7">
              <w:rPr>
                <w:rFonts w:ascii="Cambria" w:hAnsi="Cambria" w:cs="Calibri Light"/>
                <w:b/>
                <w:bCs/>
                <w:color w:val="000000"/>
                <w:sz w:val="18"/>
                <w:szCs w:val="18"/>
                <w:lang w:val="nb-NO" w:eastAsia="zh-CN"/>
              </w:rPr>
              <w:t>inovācijas</w:t>
            </w:r>
            <w:r w:rsidRPr="00C14EB7">
              <w:rPr>
                <w:rFonts w:ascii="Cambria" w:hAnsi="Cambria" w:cs="Calibri Light"/>
                <w:color w:val="000000"/>
                <w:sz w:val="18"/>
                <w:szCs w:val="18"/>
                <w:lang w:val="nb-NO" w:eastAsia="zh-CN"/>
              </w:rPr>
              <w:t xml:space="preserve"> </w:t>
            </w:r>
            <w:r w:rsidRPr="00C14EB7">
              <w:rPr>
                <w:rFonts w:ascii="Cambria" w:hAnsi="Cambria" w:cs="Calibri Light"/>
                <w:b/>
                <w:bCs/>
                <w:color w:val="000000"/>
                <w:sz w:val="18"/>
                <w:szCs w:val="18"/>
                <w:lang w:val="nb-NO" w:eastAsia="zh-CN"/>
              </w:rPr>
              <w:t>virziens</w:t>
            </w:r>
            <w:r w:rsidRPr="00C14EB7">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C14EB7">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342038EE" w14:textId="114E64D5" w:rsidR="00C14EB7" w:rsidRPr="00C14EB7" w:rsidRDefault="00C14EB7" w:rsidP="00C14EB7">
            <w:pPr>
              <w:suppressAutoHyphens/>
              <w:rPr>
                <w:rFonts w:ascii="Cambria" w:hAnsi="Cambria" w:cs="Calibri Light"/>
                <w:color w:val="000000"/>
                <w:sz w:val="18"/>
                <w:szCs w:val="18"/>
                <w:lang w:val="nb-NO" w:eastAsia="zh-CN"/>
              </w:rPr>
            </w:pPr>
            <w:r w:rsidRPr="00C14EB7">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709" w:type="dxa"/>
            <w:shd w:val="clear" w:color="auto" w:fill="FFFFFF" w:themeFill="background1"/>
          </w:tcPr>
          <w:p w14:paraId="5334C479"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34194C21" w14:textId="77777777" w:rsidR="00C14EB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31FF40A2" w:rsidR="00C14EB7" w:rsidRPr="00C67E07" w:rsidRDefault="00C14EB7" w:rsidP="00C14EB7">
            <w:pPr>
              <w:suppressAutoHyphens/>
              <w:rPr>
                <w:rFonts w:ascii="Cambria" w:hAnsi="Cambria" w:cs="Calibri Light"/>
                <w:color w:val="000000"/>
                <w:sz w:val="18"/>
                <w:szCs w:val="18"/>
                <w:lang w:val="nb-NO" w:eastAsia="zh-CN"/>
              </w:rPr>
            </w:pPr>
            <w:r w:rsidRPr="00F248E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515E2D78" w14:textId="448FF686" w:rsidTr="000B29E7">
        <w:trPr>
          <w:trHeight w:val="276"/>
        </w:trPr>
        <w:tc>
          <w:tcPr>
            <w:tcW w:w="988" w:type="dxa"/>
            <w:shd w:val="clear" w:color="auto" w:fill="FFFFFF" w:themeFill="background1"/>
            <w:noWrap/>
          </w:tcPr>
          <w:p w14:paraId="1163580B" w14:textId="762720A3"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2B356AA6" w14:textId="2FDDC333" w:rsidR="00C14EB7" w:rsidRPr="00C14EB7" w:rsidRDefault="00C14EB7" w:rsidP="00C14EB7">
            <w:pPr>
              <w:suppressAutoHyphens/>
              <w:rPr>
                <w:rFonts w:ascii="Cambria" w:hAnsi="Cambria" w:cs="Calibri Light"/>
                <w:b/>
                <w:bCs/>
                <w:color w:val="000000"/>
                <w:sz w:val="18"/>
                <w:szCs w:val="18"/>
                <w:lang w:val="nb-NO" w:eastAsia="zh-CN"/>
              </w:rPr>
            </w:pPr>
            <w:r w:rsidRPr="00C14EB7">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C14EB7">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709" w:type="dxa"/>
            <w:shd w:val="clear" w:color="auto" w:fill="FFFFFF" w:themeFill="background1"/>
          </w:tcPr>
          <w:p w14:paraId="3B49352D"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9F825EE" w14:textId="7FE6696F" w:rsidTr="003D2B01">
        <w:trPr>
          <w:trHeight w:val="276"/>
        </w:trPr>
        <w:tc>
          <w:tcPr>
            <w:tcW w:w="988" w:type="dxa"/>
            <w:shd w:val="clear" w:color="auto" w:fill="CCC0D9"/>
            <w:noWrap/>
          </w:tcPr>
          <w:p w14:paraId="25032598" w14:textId="0D89300E"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0906E2F" w14:textId="3A4A0D30" w:rsidTr="000B29E7">
        <w:trPr>
          <w:trHeight w:val="276"/>
        </w:trPr>
        <w:tc>
          <w:tcPr>
            <w:tcW w:w="988" w:type="dxa"/>
            <w:shd w:val="clear" w:color="auto" w:fill="FFFFFF" w:themeFill="background1"/>
            <w:noWrap/>
          </w:tcPr>
          <w:p w14:paraId="7FD3E3D7" w14:textId="5B728C2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69169DD4" w14:textId="0A12B3C2" w:rsidTr="000B29E7">
        <w:trPr>
          <w:trHeight w:val="276"/>
        </w:trPr>
        <w:tc>
          <w:tcPr>
            <w:tcW w:w="988" w:type="dxa"/>
            <w:shd w:val="clear" w:color="auto" w:fill="FFFFFF" w:themeFill="background1"/>
            <w:noWrap/>
          </w:tcPr>
          <w:p w14:paraId="2FDFD05A" w14:textId="1BB2038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0B85018" w14:textId="711B16AE" w:rsidTr="003D2B01">
        <w:trPr>
          <w:trHeight w:val="276"/>
        </w:trPr>
        <w:tc>
          <w:tcPr>
            <w:tcW w:w="988" w:type="dxa"/>
            <w:shd w:val="clear" w:color="auto" w:fill="CCC0D9"/>
            <w:noWrap/>
          </w:tcPr>
          <w:p w14:paraId="23B1B352" w14:textId="20CFFAC3"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lastRenderedPageBreak/>
              <w:t>18</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AF4B98" w14:textId="7AA05853" w:rsidTr="000B29E7">
        <w:trPr>
          <w:trHeight w:val="276"/>
        </w:trPr>
        <w:tc>
          <w:tcPr>
            <w:tcW w:w="988" w:type="dxa"/>
            <w:shd w:val="clear" w:color="auto" w:fill="FFFFFF" w:themeFill="background1"/>
            <w:noWrap/>
          </w:tcPr>
          <w:p w14:paraId="69E589E6" w14:textId="31511FA5"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079C06" w14:textId="0C144E61" w:rsidTr="000B29E7">
        <w:trPr>
          <w:trHeight w:val="276"/>
        </w:trPr>
        <w:tc>
          <w:tcPr>
            <w:tcW w:w="988" w:type="dxa"/>
            <w:shd w:val="clear" w:color="auto" w:fill="FFFFFF" w:themeFill="background1"/>
            <w:noWrap/>
          </w:tcPr>
          <w:p w14:paraId="2BF3CA55" w14:textId="20E2A55C"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46C9C483" w14:textId="2ADE03C2" w:rsidTr="000B29E7">
        <w:trPr>
          <w:trHeight w:val="276"/>
        </w:trPr>
        <w:tc>
          <w:tcPr>
            <w:tcW w:w="988" w:type="dxa"/>
            <w:shd w:val="clear" w:color="auto" w:fill="FFFFFF" w:themeFill="background1"/>
            <w:noWrap/>
          </w:tcPr>
          <w:p w14:paraId="0AF96CEC" w14:textId="47ACC50A"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1523B125" w14:textId="7C11CF11" w:rsidTr="003D2B01">
        <w:trPr>
          <w:trHeight w:val="276"/>
        </w:trPr>
        <w:tc>
          <w:tcPr>
            <w:tcW w:w="988" w:type="dxa"/>
            <w:shd w:val="clear" w:color="auto" w:fill="CCC0D9"/>
            <w:noWrap/>
          </w:tcPr>
          <w:p w14:paraId="4584A696" w14:textId="32C2D170"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EF0DC55" w14:textId="40ED0BAD" w:rsidTr="000B29E7">
        <w:trPr>
          <w:trHeight w:val="276"/>
        </w:trPr>
        <w:tc>
          <w:tcPr>
            <w:tcW w:w="988" w:type="dxa"/>
            <w:shd w:val="clear" w:color="auto" w:fill="FFFFFF" w:themeFill="background1"/>
            <w:noWrap/>
          </w:tcPr>
          <w:p w14:paraId="154FA0D3" w14:textId="3E776904"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tcPr>
          <w:p w14:paraId="3BBBCE94"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5A6BFB19"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60E5BF9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E8CD9D4" w14:textId="68F4ED15" w:rsidTr="000B29E7">
        <w:trPr>
          <w:trHeight w:val="276"/>
        </w:trPr>
        <w:tc>
          <w:tcPr>
            <w:tcW w:w="988" w:type="dxa"/>
            <w:noWrap/>
          </w:tcPr>
          <w:p w14:paraId="6941772D" w14:textId="3BD81EED"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.2.</w:t>
            </w:r>
          </w:p>
        </w:tc>
        <w:tc>
          <w:tcPr>
            <w:tcW w:w="6520" w:type="dxa"/>
            <w:gridSpan w:val="4"/>
          </w:tcPr>
          <w:p w14:paraId="0F85F26F"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tcPr>
          <w:p w14:paraId="20B2542F"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tcPr>
          <w:p w14:paraId="745449F7"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60A68017"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673F87F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173832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C39151C" w14:textId="6206379D" w:rsidTr="000B29E7">
        <w:trPr>
          <w:trHeight w:val="276"/>
        </w:trPr>
        <w:tc>
          <w:tcPr>
            <w:tcW w:w="988" w:type="dxa"/>
            <w:noWrap/>
          </w:tcPr>
          <w:p w14:paraId="2C8D944D" w14:textId="693DF643"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19.3.</w:t>
            </w:r>
          </w:p>
        </w:tc>
        <w:tc>
          <w:tcPr>
            <w:tcW w:w="6520" w:type="dxa"/>
            <w:gridSpan w:val="4"/>
          </w:tcPr>
          <w:p w14:paraId="4E7F123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tcPr>
          <w:p w14:paraId="7BEB4D7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0D083EA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0594858"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19E3B24B"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23905E80"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54A5EEFC" w14:textId="74860D84" w:rsidTr="003D2B01">
        <w:trPr>
          <w:trHeight w:val="276"/>
        </w:trPr>
        <w:tc>
          <w:tcPr>
            <w:tcW w:w="988" w:type="dxa"/>
            <w:shd w:val="clear" w:color="auto" w:fill="CCC0D9"/>
            <w:noWrap/>
          </w:tcPr>
          <w:p w14:paraId="44EBB567" w14:textId="5B4C2023"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F38F4DF" w14:textId="7CD4FE12" w:rsidTr="000B29E7">
        <w:trPr>
          <w:trHeight w:val="276"/>
        </w:trPr>
        <w:tc>
          <w:tcPr>
            <w:tcW w:w="988" w:type="dxa"/>
            <w:noWrap/>
          </w:tcPr>
          <w:p w14:paraId="7CCE0B5D" w14:textId="62DACF0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0796FC7A"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tcPr>
          <w:p w14:paraId="46609A6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Pr>
          <w:p w14:paraId="030F4EB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tcPr>
          <w:p w14:paraId="7D4B5CE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0A0FD7C7"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1223E27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DCFD28F" w14:textId="05B4A91C" w:rsidTr="000B29E7">
        <w:trPr>
          <w:trHeight w:val="276"/>
        </w:trPr>
        <w:tc>
          <w:tcPr>
            <w:tcW w:w="988" w:type="dxa"/>
            <w:noWrap/>
          </w:tcPr>
          <w:p w14:paraId="5716FAAF" w14:textId="47D819D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279BE617"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tcPr>
          <w:p w14:paraId="22D6C405"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242AA81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3805880"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D8D9452"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EC84686"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0812C96A" w14:textId="64467B16" w:rsidTr="003D2B01">
        <w:trPr>
          <w:trHeight w:val="276"/>
        </w:trPr>
        <w:tc>
          <w:tcPr>
            <w:tcW w:w="988" w:type="dxa"/>
            <w:shd w:val="clear" w:color="auto" w:fill="CCC0D9"/>
            <w:noWrap/>
          </w:tcPr>
          <w:p w14:paraId="68CD8A4B" w14:textId="28E569B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C14EB7" w:rsidRPr="003201D3" w:rsidRDefault="00C14EB7" w:rsidP="00C14EB7">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C14EB7" w:rsidRPr="003201D3" w:rsidRDefault="00C14EB7" w:rsidP="00C14EB7">
            <w:pPr>
              <w:suppressAutoHyphens/>
              <w:rPr>
                <w:rFonts w:ascii="Cambria" w:hAnsi="Cambria" w:cs="Calibri Light"/>
                <w:b/>
                <w:bCs/>
                <w:sz w:val="18"/>
                <w:szCs w:val="18"/>
              </w:rPr>
            </w:pPr>
          </w:p>
        </w:tc>
      </w:tr>
      <w:tr w:rsidR="00C14EB7" w:rsidRPr="00C67E07" w14:paraId="6B49008D" w14:textId="63D8058F" w:rsidTr="000B29E7">
        <w:trPr>
          <w:trHeight w:val="276"/>
        </w:trPr>
        <w:tc>
          <w:tcPr>
            <w:tcW w:w="988" w:type="dxa"/>
            <w:noWrap/>
          </w:tcPr>
          <w:p w14:paraId="53C59045" w14:textId="7236EEF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Pr>
          <w:p w14:paraId="5D3C79B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tcPr>
          <w:p w14:paraId="7416225E"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Pr>
          <w:p w14:paraId="1031558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Pr>
          <w:p w14:paraId="4FAAECB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715A2ED1"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08FF85B3" w14:textId="2BC2E909" w:rsidTr="000B29E7">
        <w:trPr>
          <w:trHeight w:val="276"/>
        </w:trPr>
        <w:tc>
          <w:tcPr>
            <w:tcW w:w="988" w:type="dxa"/>
            <w:noWrap/>
          </w:tcPr>
          <w:p w14:paraId="6AA6FEA8" w14:textId="19BA99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0D1F68AE"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3E1B89CE"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6F72C154"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06FC4C4" w14:textId="206FA329" w:rsidTr="000B29E7">
        <w:trPr>
          <w:trHeight w:val="276"/>
        </w:trPr>
        <w:tc>
          <w:tcPr>
            <w:tcW w:w="988" w:type="dxa"/>
            <w:noWrap/>
          </w:tcPr>
          <w:p w14:paraId="4DB8D721" w14:textId="6304E7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A6CF13F"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4EB753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5D32818"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A189993" w14:textId="40B61682" w:rsidTr="003D2B01">
        <w:trPr>
          <w:trHeight w:val="276"/>
        </w:trPr>
        <w:tc>
          <w:tcPr>
            <w:tcW w:w="11619" w:type="dxa"/>
            <w:gridSpan w:val="8"/>
            <w:shd w:val="clear" w:color="auto" w:fill="CCC0D9"/>
            <w:noWrap/>
          </w:tcPr>
          <w:p w14:paraId="3ADC8CF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F31601E" w14:textId="66FB235E" w:rsidTr="000B29E7">
        <w:trPr>
          <w:trHeight w:val="276"/>
        </w:trPr>
        <w:tc>
          <w:tcPr>
            <w:tcW w:w="7508" w:type="dxa"/>
            <w:gridSpan w:val="5"/>
            <w:noWrap/>
          </w:tcPr>
          <w:p w14:paraId="5CC87EE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tcPr>
          <w:p w14:paraId="1E26525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C14EB7" w:rsidRPr="003201D3" w:rsidRDefault="00C14EB7" w:rsidP="00C14EB7">
            <w:pPr>
              <w:suppressAutoHyphens/>
              <w:rPr>
                <w:rFonts w:ascii="Cambria" w:hAnsi="Cambria" w:cs="Calibri Light"/>
                <w:sz w:val="18"/>
                <w:szCs w:val="18"/>
                <w:lang w:val="nb-NO" w:eastAsia="zh-CN"/>
              </w:rPr>
            </w:pPr>
          </w:p>
        </w:tc>
        <w:tc>
          <w:tcPr>
            <w:tcW w:w="3402" w:type="dxa"/>
          </w:tcPr>
          <w:p w14:paraId="4B88B406"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138791F8" w14:textId="566F3314" w:rsidTr="003D2B01">
        <w:trPr>
          <w:trHeight w:val="276"/>
        </w:trPr>
        <w:tc>
          <w:tcPr>
            <w:tcW w:w="7508" w:type="dxa"/>
            <w:gridSpan w:val="5"/>
            <w:shd w:val="clear" w:color="auto" w:fill="CCC0D9"/>
            <w:noWrap/>
          </w:tcPr>
          <w:p w14:paraId="6441458C" w14:textId="77777777" w:rsidR="00C14EB7" w:rsidRPr="00C67E07" w:rsidRDefault="00C14EB7" w:rsidP="00C14EB7">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C14EB7" w:rsidRPr="00C67E07" w:rsidRDefault="00C14EB7" w:rsidP="00C14EB7">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7AC4A9C2" w14:textId="4EB3A9D3" w:rsidTr="003D2B01">
        <w:trPr>
          <w:trHeight w:val="276"/>
        </w:trPr>
        <w:tc>
          <w:tcPr>
            <w:tcW w:w="7508" w:type="dxa"/>
            <w:gridSpan w:val="5"/>
            <w:shd w:val="clear" w:color="auto" w:fill="CCC0D9"/>
            <w:noWrap/>
          </w:tcPr>
          <w:p w14:paraId="52F78819" w14:textId="77777777" w:rsidR="00C14EB7" w:rsidRPr="00C67E07" w:rsidRDefault="00C14EB7" w:rsidP="00C14EB7">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C14EB7" w:rsidRPr="003201D3" w:rsidRDefault="00C14EB7" w:rsidP="00C14EB7">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BA73" w14:textId="77777777" w:rsidR="00A04B73" w:rsidRDefault="00A04B73" w:rsidP="003A6D7E">
      <w:r>
        <w:separator/>
      </w:r>
    </w:p>
  </w:endnote>
  <w:endnote w:type="continuationSeparator" w:id="0">
    <w:p w14:paraId="40F29D23" w14:textId="77777777" w:rsidR="00A04B73" w:rsidRDefault="00A04B7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36C9" w14:textId="77777777" w:rsidR="00A04B73" w:rsidRDefault="00A04B73" w:rsidP="003A6D7E">
      <w:r>
        <w:separator/>
      </w:r>
    </w:p>
  </w:footnote>
  <w:footnote w:type="continuationSeparator" w:id="0">
    <w:p w14:paraId="682869CA" w14:textId="77777777" w:rsidR="00A04B73" w:rsidRDefault="00A04B73"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C14EB7" w:rsidRPr="000B29E7" w:rsidRDefault="00C14EB7"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C14EB7" w:rsidRPr="000B29E7" w:rsidRDefault="00C14EB7"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7B3C9EEB" w:rsidR="0035669E" w:rsidRPr="0035669E" w:rsidRDefault="00C14EB7"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6190"/>
    <w:rsid w:val="00175502"/>
    <w:rsid w:val="001D32AC"/>
    <w:rsid w:val="001E2316"/>
    <w:rsid w:val="00221089"/>
    <w:rsid w:val="00246BDA"/>
    <w:rsid w:val="002930E9"/>
    <w:rsid w:val="002D7357"/>
    <w:rsid w:val="002E0FEC"/>
    <w:rsid w:val="002F4BF4"/>
    <w:rsid w:val="003201D3"/>
    <w:rsid w:val="0035669E"/>
    <w:rsid w:val="00363541"/>
    <w:rsid w:val="003A6D7E"/>
    <w:rsid w:val="003D2B01"/>
    <w:rsid w:val="005472A7"/>
    <w:rsid w:val="005A44A5"/>
    <w:rsid w:val="005C36BC"/>
    <w:rsid w:val="005F67A0"/>
    <w:rsid w:val="00611B8C"/>
    <w:rsid w:val="006F2A4E"/>
    <w:rsid w:val="007746E3"/>
    <w:rsid w:val="0079696D"/>
    <w:rsid w:val="00886043"/>
    <w:rsid w:val="008B3637"/>
    <w:rsid w:val="008C2E5C"/>
    <w:rsid w:val="008E006E"/>
    <w:rsid w:val="008F0FBE"/>
    <w:rsid w:val="00921D88"/>
    <w:rsid w:val="00956CE2"/>
    <w:rsid w:val="00990E0C"/>
    <w:rsid w:val="009A2836"/>
    <w:rsid w:val="009D5282"/>
    <w:rsid w:val="00A04B73"/>
    <w:rsid w:val="00A615FE"/>
    <w:rsid w:val="00A74E99"/>
    <w:rsid w:val="00AB4058"/>
    <w:rsid w:val="00AD7CAF"/>
    <w:rsid w:val="00B05CF7"/>
    <w:rsid w:val="00B564C3"/>
    <w:rsid w:val="00C00F0A"/>
    <w:rsid w:val="00C14EB7"/>
    <w:rsid w:val="00C67E07"/>
    <w:rsid w:val="00C826EE"/>
    <w:rsid w:val="00CD41AE"/>
    <w:rsid w:val="00D25F5E"/>
    <w:rsid w:val="00D5262C"/>
    <w:rsid w:val="00DC0001"/>
    <w:rsid w:val="00E205FF"/>
    <w:rsid w:val="00E66EEA"/>
    <w:rsid w:val="00E813DA"/>
    <w:rsid w:val="00ED3EA8"/>
    <w:rsid w:val="00F248EB"/>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8708</Words>
  <Characters>4965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2026-04-17T07:23:00Z</dcterms:created>
  <dcterms:modified xsi:type="dcterms:W3CDTF">2026-04-17T07:23:00Z</dcterms:modified>
</cp:coreProperties>
</file>