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35D6735E"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2.1</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8F0FBE" w:rsidRPr="008F0FBE">
        <w:rPr>
          <w:rFonts w:ascii="Cambria" w:eastAsia="Times New Roman" w:hAnsi="Cambria" w:cs="Times New Roman"/>
          <w:bCs/>
          <w:sz w:val="20"/>
          <w:szCs w:val="20"/>
          <w:lang w:eastAsia="zh-CN"/>
        </w:rPr>
        <w:t>Dabas un vides objektu sakārtošana un pieejamības uzlabošana</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540DE25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33B1790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3A7BDAD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53175E3E"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30A403F5"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0C3EC7BA"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6CC5102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3F097ED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3B9C2EC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770F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63C86BD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E5AE94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03AAEF9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378218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722E8D8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74CDD08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63A71DB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35E5612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2E4A9D1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680C0748"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41D3F01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085CD4E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32CD7ACA"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6C438B8E"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1F57760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0973C2DB"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5F9D6978"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054F793A"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E66EEA" w:rsidRPr="00270225">
              <w:rPr>
                <w:rFonts w:ascii="Cambria" w:hAnsi="Cambria" w:cs="Calibri Light"/>
                <w:color w:val="000000"/>
                <w:sz w:val="18"/>
                <w:szCs w:val="18"/>
                <w:lang w:val="nb-NO" w:eastAsia="zh-CN"/>
              </w:rPr>
              <w:t xml:space="preserve"> un </w:t>
            </w:r>
            <w:r w:rsidR="00E66EEA"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34194C21" w14:textId="77777777" w:rsidR="009A2836"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31FF40A2" w:rsidR="00F248EB" w:rsidRPr="00C67E07" w:rsidRDefault="00F248EB" w:rsidP="00D112C4">
            <w:pPr>
              <w:suppressAutoHyphens/>
              <w:rPr>
                <w:rFonts w:ascii="Cambria" w:hAnsi="Cambria" w:cs="Calibri Light"/>
                <w:color w:val="000000"/>
                <w:sz w:val="18"/>
                <w:szCs w:val="18"/>
                <w:lang w:val="nb-NO" w:eastAsia="zh-CN"/>
              </w:rPr>
            </w:pPr>
            <w:r w:rsidRPr="00F248E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762720A3"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E66EEA">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2B356AA6" w14:textId="42E6DC4F"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E66EEA" w:rsidRPr="00270225">
              <w:rPr>
                <w:rFonts w:ascii="Cambria" w:hAnsi="Cambria" w:cs="Calibri Light"/>
                <w:color w:val="000000"/>
                <w:sz w:val="18"/>
                <w:szCs w:val="18"/>
                <w:lang w:val="nb-NO" w:eastAsia="zh-CN"/>
              </w:rPr>
              <w:t xml:space="preserve"> un </w:t>
            </w:r>
            <w:r w:rsidR="00E66EEA" w:rsidRPr="00270225">
              <w:rPr>
                <w:rFonts w:ascii="Cambria" w:hAnsi="Cambria"/>
                <w:bCs/>
                <w:sz w:val="18"/>
                <w:szCs w:val="18"/>
              </w:rPr>
              <w:t xml:space="preserve">ieguldījuma proporcija inovatīvā tehnoloģijā vai risinājumā ir </w:t>
            </w:r>
            <w:r w:rsidR="00E66EEA">
              <w:rPr>
                <w:rFonts w:ascii="Cambria" w:hAnsi="Cambria"/>
                <w:bCs/>
                <w:sz w:val="18"/>
                <w:szCs w:val="18"/>
              </w:rPr>
              <w:t>mazāka par</w:t>
            </w:r>
            <w:r w:rsidR="00E66EEA" w:rsidRPr="00270225">
              <w:rPr>
                <w:rFonts w:ascii="Cambria" w:hAnsi="Cambria"/>
                <w:bCs/>
                <w:sz w:val="18"/>
                <w:szCs w:val="18"/>
              </w:rPr>
              <w:t xml:space="preserve"> 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0D89300E"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5B728C2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1BB2038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20CFFAC3" w:rsidR="000B29E7"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31511FA5"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20E2A55C"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47ACC50A"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32C2D170" w:rsidR="000B29E7"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3E776904"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3BD81EED"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693DF643"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5B4C2023"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62DACF0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47D819D2"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28E569BF"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7236EEF2"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19BA991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6304E71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42BC" w14:textId="77777777" w:rsidR="00694AFF" w:rsidRDefault="00694AFF" w:rsidP="003A6D7E">
      <w:r>
        <w:separator/>
      </w:r>
    </w:p>
  </w:endnote>
  <w:endnote w:type="continuationSeparator" w:id="0">
    <w:p w14:paraId="5E8FACC8" w14:textId="77777777" w:rsidR="00694AFF" w:rsidRDefault="00694AFF"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BB00" w14:textId="77777777" w:rsidR="00694AFF" w:rsidRDefault="00694AFF" w:rsidP="003A6D7E">
      <w:r>
        <w:separator/>
      </w:r>
    </w:p>
  </w:footnote>
  <w:footnote w:type="continuationSeparator" w:id="0">
    <w:p w14:paraId="45E65CE2" w14:textId="77777777" w:rsidR="00694AFF" w:rsidRDefault="00694AFF"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314C0167" w:rsidR="0035669E" w:rsidRPr="0035669E" w:rsidRDefault="00F248EB"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6190"/>
    <w:rsid w:val="00175502"/>
    <w:rsid w:val="001C10CB"/>
    <w:rsid w:val="001D32AC"/>
    <w:rsid w:val="00246BDA"/>
    <w:rsid w:val="002930E9"/>
    <w:rsid w:val="002D7357"/>
    <w:rsid w:val="002E0FEC"/>
    <w:rsid w:val="002F4BF4"/>
    <w:rsid w:val="003201D3"/>
    <w:rsid w:val="0035669E"/>
    <w:rsid w:val="00363541"/>
    <w:rsid w:val="003A6D7E"/>
    <w:rsid w:val="003D2B01"/>
    <w:rsid w:val="00454A36"/>
    <w:rsid w:val="005C36BC"/>
    <w:rsid w:val="005F67A0"/>
    <w:rsid w:val="00611B8C"/>
    <w:rsid w:val="00694AFF"/>
    <w:rsid w:val="006F2A4E"/>
    <w:rsid w:val="007746E3"/>
    <w:rsid w:val="0079696D"/>
    <w:rsid w:val="00886043"/>
    <w:rsid w:val="008B3637"/>
    <w:rsid w:val="008C2E5C"/>
    <w:rsid w:val="008F0FBE"/>
    <w:rsid w:val="00956CE2"/>
    <w:rsid w:val="00990E0C"/>
    <w:rsid w:val="009A2836"/>
    <w:rsid w:val="009D5282"/>
    <w:rsid w:val="00A615FE"/>
    <w:rsid w:val="00A74E99"/>
    <w:rsid w:val="00AB4058"/>
    <w:rsid w:val="00AD7CAF"/>
    <w:rsid w:val="00B05CF7"/>
    <w:rsid w:val="00B564C3"/>
    <w:rsid w:val="00C00F0A"/>
    <w:rsid w:val="00C67E07"/>
    <w:rsid w:val="00C826EE"/>
    <w:rsid w:val="00CD41AE"/>
    <w:rsid w:val="00D25F5E"/>
    <w:rsid w:val="00D5262C"/>
    <w:rsid w:val="00DC0001"/>
    <w:rsid w:val="00E205FF"/>
    <w:rsid w:val="00E66EEA"/>
    <w:rsid w:val="00E813DA"/>
    <w:rsid w:val="00F248EB"/>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8030</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2025-08-07T14:49:00Z</dcterms:created>
  <dcterms:modified xsi:type="dcterms:W3CDTF">2025-08-07T14:49:00Z</dcterms:modified>
</cp:coreProperties>
</file>