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1" w:rsidRPr="00CE7D35" w:rsidRDefault="008C3644" w:rsidP="00A4328E">
      <w:pPr>
        <w:jc w:val="right"/>
        <w:rPr>
          <w:rFonts w:ascii="Times New Roman" w:hAnsi="Times New Roman"/>
          <w:sz w:val="28"/>
          <w:szCs w:val="28"/>
        </w:rPr>
      </w:pPr>
      <w:r w:rsidRPr="00CE7D35">
        <w:rPr>
          <w:rFonts w:ascii="Times New Roman" w:hAnsi="Times New Roman"/>
          <w:sz w:val="28"/>
          <w:szCs w:val="28"/>
        </w:rPr>
        <w:t>1</w:t>
      </w:r>
      <w:r w:rsidR="00A4328E">
        <w:rPr>
          <w:rFonts w:ascii="Times New Roman" w:hAnsi="Times New Roman"/>
          <w:sz w:val="28"/>
          <w:szCs w:val="28"/>
        </w:rPr>
        <w:t>. p</w:t>
      </w:r>
      <w:r w:rsidR="00067601" w:rsidRPr="00CE7D35">
        <w:rPr>
          <w:rFonts w:ascii="Times New Roman" w:hAnsi="Times New Roman"/>
          <w:sz w:val="28"/>
          <w:szCs w:val="28"/>
        </w:rPr>
        <w:t>ielikums</w:t>
      </w:r>
    </w:p>
    <w:p w:rsidR="00067601" w:rsidRPr="00CE7D35" w:rsidRDefault="00067601" w:rsidP="00A4328E">
      <w:pPr>
        <w:pStyle w:val="naislab"/>
        <w:spacing w:before="0" w:after="0"/>
        <w:outlineLvl w:val="0"/>
        <w:rPr>
          <w:sz w:val="28"/>
          <w:szCs w:val="28"/>
        </w:rPr>
      </w:pPr>
      <w:r w:rsidRPr="00CE7D35">
        <w:rPr>
          <w:sz w:val="28"/>
          <w:szCs w:val="28"/>
        </w:rPr>
        <w:t>Ministru kabineta</w:t>
      </w:r>
    </w:p>
    <w:p w:rsidR="00067601" w:rsidRPr="00CE7D35" w:rsidRDefault="00077E26" w:rsidP="00A4328E">
      <w:pPr>
        <w:pStyle w:val="naislab"/>
        <w:spacing w:before="0" w:after="0"/>
        <w:rPr>
          <w:sz w:val="28"/>
          <w:szCs w:val="28"/>
        </w:rPr>
      </w:pPr>
      <w:r w:rsidRPr="00CE7D35">
        <w:rPr>
          <w:sz w:val="28"/>
          <w:szCs w:val="28"/>
        </w:rPr>
        <w:t>2015</w:t>
      </w:r>
      <w:r w:rsidR="00A4328E">
        <w:rPr>
          <w:sz w:val="28"/>
          <w:szCs w:val="28"/>
        </w:rPr>
        <w:t>. g</w:t>
      </w:r>
      <w:r w:rsidR="00B82D0D">
        <w:rPr>
          <w:sz w:val="28"/>
          <w:szCs w:val="28"/>
        </w:rPr>
        <w:t>ada </w:t>
      </w:r>
      <w:r w:rsidR="002C4B3D">
        <w:rPr>
          <w:sz w:val="28"/>
          <w:szCs w:val="28"/>
        </w:rPr>
        <w:t>3.</w:t>
      </w:r>
      <w:r w:rsidR="00B82D0D">
        <w:rPr>
          <w:sz w:val="28"/>
          <w:szCs w:val="28"/>
        </w:rPr>
        <w:t> </w:t>
      </w:r>
      <w:r w:rsidR="002C4B3D">
        <w:rPr>
          <w:sz w:val="28"/>
          <w:szCs w:val="28"/>
        </w:rPr>
        <w:t>februāra</w:t>
      </w:r>
    </w:p>
    <w:p w:rsidR="00067601" w:rsidRPr="00CE7D35" w:rsidRDefault="00067601" w:rsidP="00A4328E">
      <w:pPr>
        <w:pStyle w:val="naislab"/>
        <w:spacing w:before="0" w:after="0"/>
        <w:rPr>
          <w:sz w:val="28"/>
          <w:szCs w:val="28"/>
        </w:rPr>
      </w:pPr>
      <w:r w:rsidRPr="00CE7D35">
        <w:rPr>
          <w:sz w:val="28"/>
          <w:szCs w:val="28"/>
        </w:rPr>
        <w:t xml:space="preserve"> noteikumiem Nr. </w:t>
      </w:r>
      <w:r w:rsidR="002C4B3D">
        <w:rPr>
          <w:sz w:val="28"/>
          <w:szCs w:val="28"/>
        </w:rPr>
        <w:t>60</w:t>
      </w:r>
    </w:p>
    <w:p w:rsidR="00067601" w:rsidRPr="00593708" w:rsidRDefault="00593708" w:rsidP="00A4328E">
      <w:pPr>
        <w:pStyle w:val="NoSpacing"/>
        <w:rPr>
          <w:rFonts w:ascii="Times New Roman" w:hAnsi="Times New Roman"/>
          <w:i/>
          <w:sz w:val="20"/>
          <w:szCs w:val="20"/>
        </w:rPr>
      </w:pPr>
      <w:bookmarkStart w:id="0" w:name="RANGE!A1:O37"/>
      <w:bookmarkEnd w:id="0"/>
      <w:r w:rsidRPr="00593708">
        <w:rPr>
          <w:rFonts w:ascii="Times New Roman" w:hAnsi="Times New Roman"/>
          <w:i/>
          <w:sz w:val="20"/>
          <w:szCs w:val="20"/>
        </w:rPr>
        <w:t>(Pielikums grozīts ar MK 24.08.2021. noteikumiem Nr. 579)</w:t>
      </w:r>
    </w:p>
    <w:p w:rsidR="00593708" w:rsidRPr="000C698A" w:rsidRDefault="00593708" w:rsidP="00A4328E">
      <w:pPr>
        <w:pStyle w:val="NoSpacing"/>
        <w:rPr>
          <w:rFonts w:ascii="Times New Roman" w:hAnsi="Times New Roman"/>
          <w:bCs/>
          <w:sz w:val="28"/>
          <w:szCs w:val="24"/>
        </w:rPr>
      </w:pPr>
    </w:p>
    <w:p w:rsidR="00B73EDA" w:rsidRDefault="00C76DD9" w:rsidP="00BD0233">
      <w:pPr>
        <w:jc w:val="center"/>
        <w:rPr>
          <w:rFonts w:ascii="Times New Roman" w:hAnsi="Times New Roman"/>
          <w:b/>
          <w:sz w:val="28"/>
          <w:szCs w:val="24"/>
        </w:rPr>
      </w:pPr>
      <w:r w:rsidRPr="00A4328E">
        <w:rPr>
          <w:rFonts w:ascii="Times New Roman" w:hAnsi="Times New Roman"/>
          <w:b/>
          <w:bCs/>
          <w:color w:val="000000"/>
          <w:sz w:val="28"/>
          <w:szCs w:val="24"/>
        </w:rPr>
        <w:t>A</w:t>
      </w:r>
      <w:r w:rsidR="00067601" w:rsidRPr="00A4328E">
        <w:rPr>
          <w:rFonts w:ascii="Times New Roman" w:hAnsi="Times New Roman"/>
          <w:b/>
          <w:bCs/>
          <w:color w:val="000000"/>
          <w:sz w:val="28"/>
          <w:szCs w:val="24"/>
        </w:rPr>
        <w:t>tlases kritēriji</w:t>
      </w:r>
      <w:r w:rsidRPr="00A4328E">
        <w:rPr>
          <w:rFonts w:ascii="Times New Roman" w:hAnsi="Times New Roman"/>
          <w:b/>
          <w:bCs/>
          <w:color w:val="000000"/>
          <w:sz w:val="28"/>
          <w:szCs w:val="24"/>
        </w:rPr>
        <w:t xml:space="preserve"> LAP 2014.–2020</w:t>
      </w:r>
      <w:r w:rsidR="00A4328E">
        <w:rPr>
          <w:rFonts w:ascii="Times New Roman" w:hAnsi="Times New Roman"/>
          <w:b/>
          <w:bCs/>
          <w:color w:val="000000"/>
          <w:sz w:val="28"/>
          <w:szCs w:val="24"/>
        </w:rPr>
        <w:t>. g</w:t>
      </w:r>
      <w:r w:rsidRPr="00A4328E">
        <w:rPr>
          <w:rFonts w:ascii="Times New Roman" w:hAnsi="Times New Roman"/>
          <w:b/>
          <w:bCs/>
          <w:color w:val="000000"/>
          <w:sz w:val="28"/>
          <w:szCs w:val="24"/>
        </w:rPr>
        <w:t>adam pasākum</w:t>
      </w:r>
      <w:r w:rsidR="00980079" w:rsidRPr="00A4328E">
        <w:rPr>
          <w:rFonts w:ascii="Times New Roman" w:hAnsi="Times New Roman"/>
          <w:b/>
          <w:bCs/>
          <w:color w:val="000000"/>
          <w:sz w:val="28"/>
          <w:szCs w:val="24"/>
        </w:rPr>
        <w:t>ā</w:t>
      </w:r>
      <w:r w:rsidR="00067601" w:rsidRPr="00A4328E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BB534B">
        <w:rPr>
          <w:rFonts w:ascii="Times New Roman" w:hAnsi="Times New Roman"/>
          <w:b/>
          <w:bCs/>
          <w:color w:val="000000"/>
          <w:sz w:val="28"/>
          <w:szCs w:val="24"/>
        </w:rPr>
        <w:br/>
      </w:r>
      <w:r w:rsidR="00A4328E">
        <w:rPr>
          <w:rFonts w:ascii="Times New Roman" w:hAnsi="Times New Roman"/>
          <w:b/>
          <w:bCs/>
          <w:sz w:val="28"/>
          <w:szCs w:val="24"/>
        </w:rPr>
        <w:t>"</w:t>
      </w:r>
      <w:r w:rsidR="00067601" w:rsidRPr="00A4328E">
        <w:rPr>
          <w:rFonts w:ascii="Times New Roman" w:hAnsi="Times New Roman"/>
          <w:b/>
          <w:bCs/>
          <w:sz w:val="28"/>
          <w:szCs w:val="24"/>
        </w:rPr>
        <w:t>Ražotāju grupu un organizāciju izveide</w:t>
      </w:r>
      <w:r w:rsidR="00A4328E">
        <w:rPr>
          <w:rFonts w:ascii="Times New Roman" w:hAnsi="Times New Roman"/>
          <w:b/>
          <w:bCs/>
          <w:sz w:val="28"/>
          <w:szCs w:val="24"/>
        </w:rPr>
        <w:t>"</w:t>
      </w:r>
    </w:p>
    <w:p w:rsidR="000C698A" w:rsidRDefault="000C698A" w:rsidP="000C698A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B534B" w:rsidRPr="00BB534B" w:rsidRDefault="00BB534B" w:rsidP="00BB534B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I. </w:t>
      </w:r>
      <w:r w:rsidRPr="00BB534B">
        <w:rPr>
          <w:rFonts w:ascii="Times New Roman" w:hAnsi="Times New Roman"/>
          <w:b/>
          <w:bCs/>
          <w:color w:val="000000"/>
          <w:sz w:val="28"/>
          <w:szCs w:val="24"/>
        </w:rPr>
        <w:t xml:space="preserve">Atlases kritēriji </w:t>
      </w:r>
      <w:r w:rsidRPr="00BB534B">
        <w:rPr>
          <w:rFonts w:ascii="Times New Roman" w:hAnsi="Times New Roman"/>
          <w:b/>
          <w:sz w:val="28"/>
          <w:szCs w:val="24"/>
        </w:rPr>
        <w:t>lauksaimniecības nozarē</w:t>
      </w:r>
    </w:p>
    <w:p w:rsidR="00BB534B" w:rsidRPr="005E39FF" w:rsidRDefault="00BB534B" w:rsidP="000C698A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shd w:val="clear" w:color="auto" w:fill="FFFFFF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8"/>
        <w:gridCol w:w="1822"/>
        <w:gridCol w:w="3705"/>
        <w:gridCol w:w="1799"/>
        <w:gridCol w:w="1237"/>
      </w:tblGrid>
      <w:tr w:rsidR="00593708" w:rsidRPr="00C41EC4" w:rsidTr="00912B4B">
        <w:tc>
          <w:tcPr>
            <w:tcW w:w="301" w:type="pct"/>
            <w:shd w:val="clear" w:color="auto" w:fill="FFFFFF"/>
            <w:vAlign w:val="center"/>
            <w:hideMark/>
          </w:tcPr>
          <w:p w:rsidR="00593708" w:rsidRPr="00593708" w:rsidRDefault="00593708" w:rsidP="00912B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br/>
              <w:t>p. k.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93708" w:rsidRPr="00593708" w:rsidRDefault="00593708" w:rsidP="00912B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Kritēriju grupa</w:t>
            </w:r>
          </w:p>
        </w:tc>
        <w:tc>
          <w:tcPr>
            <w:tcW w:w="2033" w:type="pct"/>
            <w:shd w:val="clear" w:color="auto" w:fill="FFFFFF"/>
            <w:vAlign w:val="center"/>
            <w:hideMark/>
          </w:tcPr>
          <w:p w:rsidR="00593708" w:rsidRPr="00593708" w:rsidRDefault="00593708" w:rsidP="00912B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Kritērijs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912B4B">
            <w:pPr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Punktu skaits kritērijā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593708" w:rsidRPr="00593708" w:rsidRDefault="00593708" w:rsidP="00912B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Maksimāli iespējamais punktu skaits grupā</w:t>
            </w:r>
          </w:p>
        </w:tc>
      </w:tr>
      <w:tr w:rsidR="00593708" w:rsidRPr="00C41EC4" w:rsidTr="00912B4B">
        <w:tc>
          <w:tcPr>
            <w:tcW w:w="301" w:type="pct"/>
            <w:vMerge w:val="restar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vMerge w:val="restart"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hAnsi="Times New Roman"/>
                <w:shd w:val="clear" w:color="auto" w:fill="FFFFFF"/>
              </w:rPr>
              <w:t xml:space="preserve">Biznesa plāna aktivitāšu īstenošanas pamatojums un </w:t>
            </w:r>
            <w:r w:rsidRPr="00593708">
              <w:rPr>
                <w:rFonts w:ascii="Times New Roman" w:hAnsi="Times New Roman"/>
                <w:spacing w:val="-2"/>
                <w:shd w:val="clear" w:color="auto" w:fill="FFFFFF"/>
              </w:rPr>
              <w:t>alternatīvu analīze</w:t>
            </w: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autoSpaceDE w:val="0"/>
              <w:autoSpaceDN w:val="0"/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Biznesa plānā ir izvēlēts viens vai vairāki mērķi un veikta to īstenošanai izvēlēto alternatīvo</w:t>
            </w:r>
            <w:r w:rsidRPr="00593708" w:rsidDel="0097364B">
              <w:rPr>
                <w:rFonts w:ascii="Times New Roman" w:eastAsia="Times New Roman" w:hAnsi="Times New Roman"/>
              </w:rPr>
              <w:t xml:space="preserve"> </w:t>
            </w:r>
            <w:r w:rsidRPr="00593708">
              <w:rPr>
                <w:rFonts w:ascii="Times New Roman" w:eastAsia="Times New Roman" w:hAnsi="Times New Roman"/>
              </w:rPr>
              <w:t>darbību analīze, ar skaitliskiem aprēķiniem pamatojot to izvēli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79" w:type="pct"/>
            <w:vMerge w:val="restar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30</w:t>
            </w:r>
          </w:p>
        </w:tc>
      </w:tr>
      <w:tr w:rsidR="00593708" w:rsidRPr="00C41EC4" w:rsidTr="00912B4B">
        <w:tc>
          <w:tcPr>
            <w:tcW w:w="301" w:type="pct"/>
            <w:vMerge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autoSpaceDE w:val="0"/>
              <w:autoSpaceDN w:val="0"/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Biznesa plānā ir izvēlēts viens vai vairāki mērķi un veikta to īstenošanai izvēlēto alternatīvo darbību analīze, bet tā nav pamatota ar skaitliskiem aprēķiniem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79" w:type="pct"/>
            <w:vMerge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593708" w:rsidRPr="00C41EC4" w:rsidTr="00912B4B">
        <w:tc>
          <w:tcPr>
            <w:tcW w:w="301" w:type="pct"/>
            <w:vMerge w:val="restar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vMerge w:val="restart"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Biznesa plāna riska faktoru izvērtējums</w:t>
            </w: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Biznesa plānā visām aktivitātēm ir izvērtēti iespējamie riska faktori (finanšu, tirgus izmaiņu, īpašuma, cilvēkresursu un citi iespējamie faktori), izstrādāts pamatots pasākumu plāns identificēto riska faktoru novēršanai vai samazināšanai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79" w:type="pct"/>
            <w:vMerge w:val="restar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25</w:t>
            </w:r>
          </w:p>
        </w:tc>
      </w:tr>
      <w:tr w:rsidR="00593708" w:rsidRPr="00C41EC4" w:rsidTr="00912B4B">
        <w:tc>
          <w:tcPr>
            <w:tcW w:w="301" w:type="pct"/>
            <w:vMerge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Biznesa plānā atsevišķām aktivitātēm ir izvērtēti iespējamie riska faktori (finanšu, tirgus izmaiņu, īpašuma, cilvēkresursu un citi iespējamie faktori), izstrādāts pamatots pasākumu plāns identificēto riska faktoru novēršanai vai samazināšanai</w:t>
            </w:r>
          </w:p>
        </w:tc>
        <w:tc>
          <w:tcPr>
            <w:tcW w:w="986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Par katras izvēlētās aktivitātes izvērtētajiem riska faktoriem piešķir 2 punktus (maks. 16)</w:t>
            </w:r>
          </w:p>
        </w:tc>
        <w:tc>
          <w:tcPr>
            <w:tcW w:w="679" w:type="pct"/>
            <w:vMerge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593708" w:rsidRPr="00C41EC4" w:rsidTr="00912B4B">
        <w:tc>
          <w:tcPr>
            <w:tcW w:w="301" w:type="pct"/>
            <w:vMerge w:val="restar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vMerge w:val="restart"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Īstenojot biznesa plānu, tiek nodrošināta veselīgu un augstas kvalitātes produktu virzīšana tirgū</w:t>
            </w: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Vismaz 30 % no sabiedrības biedriem ražo bioloģiskās lauksaimniecības produktus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679" w:type="pct"/>
            <w:vMerge w:val="restar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20</w:t>
            </w:r>
          </w:p>
        </w:tc>
      </w:tr>
      <w:tr w:rsidR="00593708" w:rsidRPr="00C41EC4" w:rsidTr="00912B4B">
        <w:tc>
          <w:tcPr>
            <w:tcW w:w="301" w:type="pct"/>
            <w:vMerge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Sabiedrība ir Nacionālās pārtikas kvalitātes shēmas dalībniece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9" w:type="pct"/>
            <w:vMerge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593708" w:rsidRPr="00C41EC4" w:rsidTr="00912B4B">
        <w:tc>
          <w:tcPr>
            <w:tcW w:w="301" w:type="pc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Īstenojot biznesa plānu, biedru saražotajai produkcijai tiek radīta papildu pievienotā vērtība</w:t>
            </w: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Īstenojot biznesa plānu, biedru saražotajai produkcijai tiek radīta papildu pievienotā vērtība kopīgai produkcijas laišanai tirgū (pirmapstrāde, pārstrāde, fasēšana u. c.)</w:t>
            </w:r>
          </w:p>
        </w:tc>
        <w:tc>
          <w:tcPr>
            <w:tcW w:w="986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10</w:t>
            </w:r>
          </w:p>
        </w:tc>
      </w:tr>
      <w:tr w:rsidR="00593708" w:rsidRPr="00C41EC4" w:rsidTr="00912B4B">
        <w:tc>
          <w:tcPr>
            <w:tcW w:w="301" w:type="pc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>Apgrozījums</w:t>
            </w:r>
          </w:p>
        </w:tc>
        <w:tc>
          <w:tcPr>
            <w:tcW w:w="2033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t xml:space="preserve">Lauksaimniecības preču un </w:t>
            </w:r>
            <w:r w:rsidRPr="00593708">
              <w:rPr>
                <w:rFonts w:ascii="Times New Roman" w:eastAsia="Times New Roman" w:hAnsi="Times New Roman"/>
              </w:rPr>
              <w:lastRenderedPageBreak/>
              <w:t>pakalpojumu apgrozījums starp kooperatīvu un tā biedriem procentos no kooperatīva lauksaimniecības preču un pakalpojumu kopējā apgrozījuma</w:t>
            </w:r>
          </w:p>
        </w:tc>
        <w:tc>
          <w:tcPr>
            <w:tcW w:w="986" w:type="pct"/>
            <w:shd w:val="clear" w:color="auto" w:fill="FFFFFF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lastRenderedPageBreak/>
              <w:t xml:space="preserve">Par katru pilnu </w:t>
            </w:r>
            <w:r w:rsidRPr="00593708">
              <w:rPr>
                <w:rFonts w:ascii="Times New Roman" w:eastAsia="Times New Roman" w:hAnsi="Times New Roman"/>
              </w:rPr>
              <w:lastRenderedPageBreak/>
              <w:t>procentu, kas pārsniedz 75 % no kopējā apgrozījuma apmēra, piešķir 0,4 punktus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593708" w:rsidRPr="00593708" w:rsidRDefault="00593708" w:rsidP="00593708">
            <w:pPr>
              <w:ind w:left="57" w:right="57"/>
              <w:jc w:val="left"/>
              <w:rPr>
                <w:rFonts w:ascii="Times New Roman" w:eastAsia="Times New Roman" w:hAnsi="Times New Roman"/>
              </w:rPr>
            </w:pPr>
            <w:r w:rsidRPr="00593708">
              <w:rPr>
                <w:rFonts w:ascii="Times New Roman" w:eastAsia="Times New Roman" w:hAnsi="Times New Roman"/>
              </w:rPr>
              <w:lastRenderedPageBreak/>
              <w:t>10</w:t>
            </w:r>
          </w:p>
        </w:tc>
      </w:tr>
      <w:tr w:rsidR="00593708" w:rsidRPr="00C41EC4" w:rsidTr="00912B4B">
        <w:tc>
          <w:tcPr>
            <w:tcW w:w="4321" w:type="pct"/>
            <w:gridSpan w:val="4"/>
            <w:shd w:val="clear" w:color="auto" w:fill="FFFFFF"/>
            <w:hideMark/>
          </w:tcPr>
          <w:p w:rsidR="00593708" w:rsidRPr="00593708" w:rsidRDefault="00593708" w:rsidP="00912B4B">
            <w:pPr>
              <w:ind w:left="57" w:right="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Kopā</w:t>
            </w:r>
          </w:p>
        </w:tc>
        <w:tc>
          <w:tcPr>
            <w:tcW w:w="679" w:type="pct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593708" w:rsidRPr="00C41EC4" w:rsidTr="00912B4B">
        <w:tc>
          <w:tcPr>
            <w:tcW w:w="5000" w:type="pct"/>
            <w:gridSpan w:val="5"/>
            <w:shd w:val="clear" w:color="auto" w:fill="FFFFFF"/>
            <w:hideMark/>
          </w:tcPr>
          <w:p w:rsidR="00593708" w:rsidRPr="00593708" w:rsidRDefault="00593708" w:rsidP="00912B4B">
            <w:pPr>
              <w:ind w:left="57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937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Minimālais punktu skaits, lai pretendētu uz atbalstu, ir 30 punktu</w:t>
            </w:r>
          </w:p>
        </w:tc>
      </w:tr>
    </w:tbl>
    <w:p w:rsidR="00AD1F91" w:rsidRDefault="00AD1F91"/>
    <w:p w:rsidR="00D803DF" w:rsidRPr="005E39FF" w:rsidRDefault="00D803DF" w:rsidP="000C698A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73EDA" w:rsidRPr="000A019F" w:rsidRDefault="00B73C9F" w:rsidP="000C698A">
      <w:pPr>
        <w:pStyle w:val="Default"/>
        <w:ind w:firstLine="720"/>
        <w:rPr>
          <w:rFonts w:eastAsia="Times New Roman"/>
        </w:rPr>
      </w:pPr>
      <w:r w:rsidRPr="000A019F">
        <w:t xml:space="preserve">Piezīme. </w:t>
      </w:r>
      <w:r w:rsidR="00B73EDA" w:rsidRPr="000A019F">
        <w:rPr>
          <w:rFonts w:eastAsia="Times New Roman"/>
        </w:rPr>
        <w:t>Ja atbilstoši biznesa plāna atlases kritērijiem iegūto punktu skaits ir vienāds, priekšroka saņemt publisko finansējumu ir atbalsta pretendentam, kurš ieguvis lielāku punktu skaitu</w:t>
      </w:r>
      <w:r w:rsidR="00FC1030" w:rsidRPr="000A019F">
        <w:rPr>
          <w:rFonts w:eastAsia="Times New Roman"/>
        </w:rPr>
        <w:t xml:space="preserve"> kritērijā, kas pamato biznesa plānā izvēlētās aktivitātes</w:t>
      </w:r>
      <w:r w:rsidR="000F2546" w:rsidRPr="000A019F">
        <w:rPr>
          <w:rFonts w:eastAsia="Times New Roman"/>
        </w:rPr>
        <w:t>,</w:t>
      </w:r>
      <w:r w:rsidR="00FC1030" w:rsidRPr="000A019F">
        <w:rPr>
          <w:rFonts w:eastAsia="Times New Roman"/>
        </w:rPr>
        <w:t xml:space="preserve"> un </w:t>
      </w:r>
      <w:r w:rsidR="00B73EDA" w:rsidRPr="000A019F">
        <w:rPr>
          <w:rFonts w:eastAsia="Times New Roman"/>
        </w:rPr>
        <w:t>kritērijā</w:t>
      </w:r>
      <w:r w:rsidR="00FC1030" w:rsidRPr="000A019F">
        <w:t xml:space="preserve"> par </w:t>
      </w:r>
      <w:r w:rsidR="00FC1030" w:rsidRPr="000A019F">
        <w:rPr>
          <w:rFonts w:eastAsia="Times New Roman"/>
        </w:rPr>
        <w:t>riska faktoru izvērtējumu. Ja šajos kritērijos iegūto punktu skaits ir vienāds, vērtē</w:t>
      </w:r>
      <w:r w:rsidR="007344DB" w:rsidRPr="000A019F">
        <w:rPr>
          <w:rFonts w:eastAsia="Times New Roman"/>
        </w:rPr>
        <w:t xml:space="preserve"> </w:t>
      </w:r>
      <w:r w:rsidR="00FC1030" w:rsidRPr="000A019F">
        <w:rPr>
          <w:rFonts w:eastAsia="Times New Roman"/>
        </w:rPr>
        <w:t xml:space="preserve">arī </w:t>
      </w:r>
      <w:r w:rsidR="007344DB" w:rsidRPr="000A019F">
        <w:rPr>
          <w:rFonts w:eastAsia="Times New Roman"/>
        </w:rPr>
        <w:t>apgrozījuma kritērij</w:t>
      </w:r>
      <w:r w:rsidR="00FC1030" w:rsidRPr="000A019F">
        <w:rPr>
          <w:rFonts w:eastAsia="Times New Roman"/>
        </w:rPr>
        <w:t>u</w:t>
      </w:r>
      <w:r w:rsidR="00763798" w:rsidRPr="000A019F">
        <w:t xml:space="preserve">. </w:t>
      </w:r>
    </w:p>
    <w:p w:rsidR="00BB534B" w:rsidRDefault="00BB534B" w:rsidP="00BB534B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B534B" w:rsidRPr="00BB534B" w:rsidRDefault="00BB534B" w:rsidP="00BB534B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II. </w:t>
      </w:r>
      <w:r w:rsidRPr="00BB534B">
        <w:rPr>
          <w:rFonts w:ascii="Times New Roman" w:hAnsi="Times New Roman"/>
          <w:b/>
          <w:bCs/>
          <w:color w:val="000000"/>
          <w:sz w:val="28"/>
          <w:szCs w:val="24"/>
        </w:rPr>
        <w:t xml:space="preserve">Atlases kritēriji </w:t>
      </w:r>
      <w:r w:rsidRPr="000C698A">
        <w:rPr>
          <w:rFonts w:ascii="Times New Roman" w:hAnsi="Times New Roman"/>
          <w:b/>
          <w:sz w:val="28"/>
          <w:szCs w:val="24"/>
        </w:rPr>
        <w:t>mež</w:t>
      </w:r>
      <w:r w:rsidR="002F4760">
        <w:rPr>
          <w:rFonts w:ascii="Times New Roman" w:hAnsi="Times New Roman"/>
          <w:b/>
          <w:sz w:val="28"/>
          <w:szCs w:val="24"/>
        </w:rPr>
        <w:t>saimniecības</w:t>
      </w:r>
      <w:r w:rsidRPr="000C698A">
        <w:rPr>
          <w:rFonts w:ascii="Times New Roman" w:hAnsi="Times New Roman"/>
          <w:b/>
          <w:sz w:val="28"/>
          <w:szCs w:val="24"/>
        </w:rPr>
        <w:t xml:space="preserve"> </w:t>
      </w:r>
      <w:r w:rsidRPr="00BB534B">
        <w:rPr>
          <w:rFonts w:ascii="Times New Roman" w:hAnsi="Times New Roman"/>
          <w:b/>
          <w:sz w:val="28"/>
          <w:szCs w:val="24"/>
        </w:rPr>
        <w:t>nozarē</w:t>
      </w:r>
    </w:p>
    <w:p w:rsidR="00BB534B" w:rsidRPr="005E39FF" w:rsidRDefault="00BB534B" w:rsidP="00BB534B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828"/>
        <w:gridCol w:w="1842"/>
        <w:gridCol w:w="1276"/>
      </w:tblGrid>
      <w:tr w:rsidR="009622D8" w:rsidRPr="003062FE" w:rsidTr="003062FE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22D8" w:rsidRPr="003062FE" w:rsidRDefault="009622D8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Nr.</w:t>
            </w:r>
            <w:r w:rsidR="000D0F09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br/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p.</w:t>
            </w:r>
            <w:r w:rsidR="00A4328E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 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22D8" w:rsidRPr="003062FE" w:rsidRDefault="009622D8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Kritēriju grupa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622D8" w:rsidRPr="003062FE" w:rsidRDefault="009622D8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Kritērijs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622D8" w:rsidRPr="003062FE" w:rsidRDefault="009622D8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Punktu skaits kritērijā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22D8" w:rsidRPr="003062FE" w:rsidRDefault="009622D8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Maksimāli iespējamais punktu skaits grupā</w:t>
            </w:r>
          </w:p>
        </w:tc>
      </w:tr>
      <w:tr w:rsidR="000A019F" w:rsidRPr="003062FE" w:rsidTr="009D49F4">
        <w:tc>
          <w:tcPr>
            <w:tcW w:w="675" w:type="dxa"/>
            <w:vMerge w:val="restart"/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0A019F" w:rsidRPr="003062FE" w:rsidRDefault="000A019F" w:rsidP="003062FE">
            <w:pPr>
              <w:pStyle w:val="Default"/>
              <w:ind w:left="-57" w:right="-57"/>
              <w:jc w:val="left"/>
              <w:rPr>
                <w:bCs/>
                <w:color w:val="auto"/>
                <w:spacing w:val="-2"/>
              </w:rPr>
            </w:pPr>
            <w:r w:rsidRPr="003062FE">
              <w:rPr>
                <w:color w:val="auto"/>
                <w:spacing w:val="-2"/>
              </w:rPr>
              <w:t>Biznesa plāna aktivitāšu īstenošanas pamatojums un alternatīvu analīze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A019F" w:rsidRPr="003062FE" w:rsidRDefault="000A019F" w:rsidP="00961D3B">
            <w:pPr>
              <w:pStyle w:val="Default"/>
              <w:ind w:left="-57" w:right="-57"/>
              <w:jc w:val="left"/>
              <w:rPr>
                <w:rFonts w:eastAsia="Times New Roman"/>
                <w:color w:val="auto"/>
                <w:spacing w:val="-2"/>
              </w:rPr>
            </w:pPr>
            <w:r w:rsidRPr="003062FE">
              <w:rPr>
                <w:rFonts w:eastAsia="Times New Roman"/>
                <w:color w:val="auto"/>
                <w:spacing w:val="-2"/>
              </w:rPr>
              <w:t>Biznesa plānā ir izvēlēti vismaz trīs mērķi un veikta to īstenošanai izvēlēto aktivitāšu alternatīvu analīze, ar skaitliskiem aprēķiniem pamato</w:t>
            </w:r>
            <w:r>
              <w:rPr>
                <w:rFonts w:eastAsia="Times New Roman"/>
                <w:color w:val="auto"/>
                <w:spacing w:val="-2"/>
              </w:rPr>
              <w:t>jot</w:t>
            </w:r>
            <w:r w:rsidRPr="003062FE">
              <w:rPr>
                <w:rFonts w:eastAsia="Times New Roman"/>
                <w:color w:val="auto"/>
                <w:spacing w:val="-2"/>
              </w:rPr>
              <w:t xml:space="preserve"> to izvēli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19F" w:rsidRPr="003062FE" w:rsidRDefault="000A019F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A019F" w:rsidRPr="003062FE" w:rsidRDefault="000A019F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40</w:t>
            </w:r>
          </w:p>
        </w:tc>
      </w:tr>
      <w:tr w:rsidR="000A019F" w:rsidRPr="003062FE" w:rsidTr="009D49F4">
        <w:tc>
          <w:tcPr>
            <w:tcW w:w="675" w:type="dxa"/>
            <w:vMerge/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019F" w:rsidRPr="003062FE" w:rsidRDefault="000A019F" w:rsidP="003062FE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F" w:rsidRPr="003062FE" w:rsidRDefault="000A019F" w:rsidP="003062FE">
            <w:pPr>
              <w:pStyle w:val="Default"/>
              <w:ind w:left="-57" w:right="-57"/>
              <w:jc w:val="left"/>
              <w:rPr>
                <w:rFonts w:eastAsia="Times New Roman"/>
                <w:color w:val="auto"/>
                <w:spacing w:val="-2"/>
              </w:rPr>
            </w:pPr>
            <w:r w:rsidRPr="003062FE">
              <w:rPr>
                <w:rFonts w:eastAsia="Times New Roman"/>
                <w:color w:val="auto"/>
                <w:spacing w:val="-2"/>
              </w:rPr>
              <w:t>Biznesa plānā ir izvēlēti vismaz divi mērķi un veikta to īstenošanai izvēlēto aktivitāšu alternatīvu analīze, ar skaitliskiem aprēķiniem pamato</w:t>
            </w:r>
            <w:r>
              <w:rPr>
                <w:rFonts w:eastAsia="Times New Roman"/>
                <w:color w:val="auto"/>
                <w:spacing w:val="-2"/>
              </w:rPr>
              <w:t>jot</w:t>
            </w:r>
            <w:r w:rsidRPr="003062FE">
              <w:rPr>
                <w:rFonts w:eastAsia="Times New Roman"/>
                <w:color w:val="auto"/>
                <w:spacing w:val="-2"/>
              </w:rPr>
              <w:t xml:space="preserve"> to izvēli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F" w:rsidRPr="003062FE" w:rsidRDefault="000A019F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0A019F" w:rsidRPr="003062FE" w:rsidTr="009D49F4">
        <w:tc>
          <w:tcPr>
            <w:tcW w:w="675" w:type="dxa"/>
            <w:vMerge/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019F" w:rsidRPr="003062FE" w:rsidRDefault="000A019F" w:rsidP="003062FE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0A019F" w:rsidRPr="003062FE" w:rsidRDefault="000A019F" w:rsidP="003062FE">
            <w:pPr>
              <w:pStyle w:val="Default"/>
              <w:ind w:left="-57" w:right="-57"/>
              <w:jc w:val="left"/>
              <w:rPr>
                <w:rFonts w:eastAsia="Times New Roman"/>
                <w:color w:val="auto"/>
                <w:spacing w:val="-2"/>
              </w:rPr>
            </w:pPr>
            <w:r w:rsidRPr="003062FE">
              <w:rPr>
                <w:rFonts w:eastAsia="Times New Roman"/>
                <w:color w:val="auto"/>
                <w:spacing w:val="-2"/>
              </w:rPr>
              <w:t>Biznesa plānā ir izvēlēts viens mērķis un veikta tā īstenošanai izvēlēto aktivitāšu alternatīvu analīze, ar skaitliskiem aprēķiniem pamato</w:t>
            </w:r>
            <w:r>
              <w:rPr>
                <w:rFonts w:eastAsia="Times New Roman"/>
                <w:color w:val="auto"/>
                <w:spacing w:val="-2"/>
              </w:rPr>
              <w:t>jot</w:t>
            </w:r>
            <w:r w:rsidRPr="003062FE">
              <w:rPr>
                <w:rFonts w:eastAsia="Times New Roman"/>
                <w:color w:val="auto"/>
                <w:spacing w:val="-2"/>
              </w:rPr>
              <w:t xml:space="preserve"> to izvēli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A019F" w:rsidRPr="003062FE" w:rsidRDefault="000A019F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0A019F" w:rsidRPr="003062FE" w:rsidTr="003062FE">
        <w:trPr>
          <w:trHeight w:val="59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019F" w:rsidRPr="003062FE" w:rsidRDefault="000A019F" w:rsidP="003062FE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A019F" w:rsidRPr="003062FE" w:rsidRDefault="000A019F" w:rsidP="003062FE">
            <w:pPr>
              <w:pStyle w:val="Default"/>
              <w:ind w:left="-57" w:right="-57"/>
              <w:jc w:val="left"/>
              <w:rPr>
                <w:rFonts w:eastAsia="Times New Roman"/>
                <w:color w:val="auto"/>
                <w:spacing w:val="-2"/>
              </w:rPr>
            </w:pPr>
            <w:r w:rsidRPr="003062FE">
              <w:rPr>
                <w:rFonts w:eastAsia="Times New Roman"/>
                <w:color w:val="auto"/>
                <w:spacing w:val="-2"/>
              </w:rPr>
              <w:t>Biznesa plānā ir izvēlēts viens vai vairāki mērķi un veikta</w:t>
            </w:r>
            <w:r>
              <w:rPr>
                <w:rFonts w:eastAsia="Times New Roman"/>
                <w:color w:val="auto"/>
                <w:spacing w:val="-2"/>
              </w:rPr>
              <w:t xml:space="preserve"> to</w:t>
            </w:r>
            <w:r w:rsidRPr="003062FE">
              <w:rPr>
                <w:rFonts w:eastAsia="Times New Roman"/>
                <w:color w:val="auto"/>
                <w:spacing w:val="-2"/>
              </w:rPr>
              <w:t xml:space="preserve"> īstenošanai izvēlēto aktivitāšu alternatīvu analīze, bet tā nav pamatota ar skaitliskiem aprēķiniem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19F" w:rsidRPr="003062FE" w:rsidRDefault="000A019F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019F" w:rsidRPr="003062FE" w:rsidRDefault="000A019F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AC6022" w:rsidRPr="003062FE" w:rsidTr="003062FE">
        <w:tc>
          <w:tcPr>
            <w:tcW w:w="675" w:type="dxa"/>
            <w:vMerge w:val="restart"/>
          </w:tcPr>
          <w:p w:rsidR="00AC6022" w:rsidRPr="003062FE" w:rsidRDefault="00AC6022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</w:tcPr>
          <w:p w:rsidR="00AC6022" w:rsidRPr="003062FE" w:rsidRDefault="00AC6022" w:rsidP="003062FE">
            <w:pPr>
              <w:pStyle w:val="Default"/>
              <w:ind w:left="-57" w:right="-57"/>
              <w:jc w:val="left"/>
              <w:rPr>
                <w:bCs/>
                <w:spacing w:val="-2"/>
              </w:rPr>
            </w:pPr>
            <w:r w:rsidRPr="003062FE">
              <w:rPr>
                <w:bCs/>
                <w:color w:val="auto"/>
                <w:spacing w:val="-2"/>
              </w:rPr>
              <w:t xml:space="preserve">Biznesa plāna riska faktoru izvērtējums </w:t>
            </w:r>
          </w:p>
        </w:tc>
        <w:tc>
          <w:tcPr>
            <w:tcW w:w="3828" w:type="dxa"/>
            <w:vAlign w:val="center"/>
          </w:tcPr>
          <w:p w:rsidR="00AC6022" w:rsidRPr="003062FE" w:rsidRDefault="00AC6022" w:rsidP="003062FE">
            <w:pPr>
              <w:pStyle w:val="Default"/>
              <w:ind w:left="-57" w:right="-57"/>
              <w:jc w:val="left"/>
              <w:rPr>
                <w:bCs/>
                <w:color w:val="auto"/>
                <w:spacing w:val="-2"/>
              </w:rPr>
            </w:pPr>
            <w:r w:rsidRPr="003062FE">
              <w:rPr>
                <w:color w:val="auto"/>
                <w:spacing w:val="-2"/>
              </w:rPr>
              <w:t xml:space="preserve">Biznesa plānā visām aktivitātēm ir izvērtēti iespējamie riska faktori </w:t>
            </w:r>
            <w:r w:rsidRPr="003062FE">
              <w:rPr>
                <w:bCs/>
                <w:color w:val="auto"/>
                <w:spacing w:val="-2"/>
              </w:rPr>
              <w:t>(finanšu, tirgus izmaiņu, īpašuma, cilvēkresursu un citi iespējamie faktori)</w:t>
            </w:r>
            <w:r w:rsidRPr="003062FE">
              <w:rPr>
                <w:color w:val="auto"/>
                <w:spacing w:val="-2"/>
              </w:rPr>
              <w:t xml:space="preserve">, izstrādāts pamatots pasākumu plāns identificēto riska faktoru novēršanai vai samazināšanai </w:t>
            </w:r>
          </w:p>
        </w:tc>
        <w:tc>
          <w:tcPr>
            <w:tcW w:w="1842" w:type="dxa"/>
            <w:vAlign w:val="center"/>
          </w:tcPr>
          <w:p w:rsidR="00AC6022" w:rsidRPr="003062FE" w:rsidRDefault="005B3DA5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:rsidR="00AC6022" w:rsidRPr="003062FE" w:rsidRDefault="005B3DA5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25</w:t>
            </w:r>
          </w:p>
        </w:tc>
      </w:tr>
      <w:tr w:rsidR="00AC6022" w:rsidRPr="003062FE" w:rsidTr="003062FE">
        <w:tc>
          <w:tcPr>
            <w:tcW w:w="675" w:type="dxa"/>
            <w:vMerge/>
          </w:tcPr>
          <w:p w:rsidR="00AC6022" w:rsidRPr="003062FE" w:rsidRDefault="00AC6022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6022" w:rsidRPr="003062FE" w:rsidRDefault="00AC6022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AC6022" w:rsidRPr="003062FE" w:rsidRDefault="00AC6022" w:rsidP="003062FE">
            <w:pPr>
              <w:pStyle w:val="Default"/>
              <w:ind w:left="-57" w:right="-57"/>
              <w:jc w:val="left"/>
              <w:rPr>
                <w:bCs/>
                <w:color w:val="auto"/>
                <w:spacing w:val="-2"/>
              </w:rPr>
            </w:pPr>
            <w:r w:rsidRPr="003062FE">
              <w:rPr>
                <w:bCs/>
                <w:color w:val="auto"/>
                <w:spacing w:val="-2"/>
              </w:rPr>
              <w:t>Biznesa plān</w:t>
            </w:r>
            <w:r w:rsidR="000F2546" w:rsidRPr="003062FE">
              <w:rPr>
                <w:bCs/>
                <w:color w:val="auto"/>
                <w:spacing w:val="-2"/>
              </w:rPr>
              <w:t>ā</w:t>
            </w:r>
            <w:r w:rsidRPr="003062FE">
              <w:rPr>
                <w:bCs/>
                <w:color w:val="auto"/>
                <w:spacing w:val="-2"/>
              </w:rPr>
              <w:t xml:space="preserve"> atsevišķām aktivitātēm ir izvērtēti iespējamie riska faktori (finanšu, tirgus izmaiņu, īpašuma, </w:t>
            </w:r>
            <w:r w:rsidRPr="003062FE">
              <w:rPr>
                <w:bCs/>
                <w:color w:val="auto"/>
                <w:spacing w:val="-2"/>
              </w:rPr>
              <w:lastRenderedPageBreak/>
              <w:t>cilvēkresursu un citi iespējamie faktori), izstrādāts pamatots pasākumu plāns identificēto riska faktoru novēršanai vai samazināšanai</w:t>
            </w:r>
          </w:p>
        </w:tc>
        <w:tc>
          <w:tcPr>
            <w:tcW w:w="1842" w:type="dxa"/>
          </w:tcPr>
          <w:p w:rsidR="00AC6022" w:rsidRPr="003062FE" w:rsidRDefault="00AC6022" w:rsidP="00961D3B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lastRenderedPageBreak/>
              <w:t>Par katras izvē</w:t>
            </w:r>
            <w:r w:rsidR="00AF70A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softHyphen/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lētās aktivitātes izvērtētajiem 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lastRenderedPageBreak/>
              <w:t>r</w:t>
            </w:r>
            <w:r w:rsidR="000D0F09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iska faktoriem piešķir 2 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punkt</w:t>
            </w:r>
            <w:r w:rsidR="00961D3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us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(ma</w:t>
            </w:r>
            <w:r w:rsidR="000F2546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ks.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1</w:t>
            </w:r>
            <w:r w:rsidR="005B3DA5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AC6022" w:rsidRPr="003062FE" w:rsidRDefault="00AC6022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026C17" w:rsidRPr="003062FE" w:rsidTr="003062FE">
        <w:trPr>
          <w:trHeight w:val="574"/>
        </w:trPr>
        <w:tc>
          <w:tcPr>
            <w:tcW w:w="675" w:type="dxa"/>
            <w:vMerge w:val="restart"/>
            <w:shd w:val="clear" w:color="auto" w:fill="auto"/>
          </w:tcPr>
          <w:p w:rsidR="00026C17" w:rsidRPr="003062FE" w:rsidRDefault="00026C17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6C17" w:rsidRPr="003062FE" w:rsidRDefault="0099689A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Nodrošināts pilns mežsaim</w:t>
            </w:r>
            <w:r w:rsidR="00961D3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niecības cikls</w:t>
            </w:r>
          </w:p>
        </w:tc>
        <w:tc>
          <w:tcPr>
            <w:tcW w:w="3828" w:type="dxa"/>
            <w:shd w:val="clear" w:color="auto" w:fill="auto"/>
          </w:tcPr>
          <w:p w:rsidR="00026C17" w:rsidRPr="003062FE" w:rsidRDefault="0099689A" w:rsidP="003062FE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>Sabiedrība nodrošina pilnu mežsaimniecības ciklu (kopšanu, atjaunošanu, ciršanu)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C17" w:rsidRPr="003062FE" w:rsidRDefault="00026C17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026C17" w:rsidRPr="003062FE" w:rsidRDefault="00026C17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10</w:t>
            </w:r>
          </w:p>
        </w:tc>
      </w:tr>
      <w:tr w:rsidR="00026C17" w:rsidRPr="003062FE" w:rsidTr="003062FE">
        <w:trPr>
          <w:trHeight w:val="528"/>
        </w:trPr>
        <w:tc>
          <w:tcPr>
            <w:tcW w:w="675" w:type="dxa"/>
            <w:vMerge/>
            <w:shd w:val="clear" w:color="auto" w:fill="auto"/>
          </w:tcPr>
          <w:p w:rsidR="00026C17" w:rsidRPr="003062FE" w:rsidRDefault="00026C17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C17" w:rsidRPr="003062FE" w:rsidRDefault="00026C17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shd w:val="clear" w:color="auto" w:fill="auto"/>
          </w:tcPr>
          <w:p w:rsidR="00026C17" w:rsidRPr="003062FE" w:rsidRDefault="0099689A" w:rsidP="003062FE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Sabiedrība nenodrošina pilnu mežsaimniecības ciklu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C17" w:rsidRPr="003062FE" w:rsidRDefault="00026C17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Merge/>
          </w:tcPr>
          <w:p w:rsidR="00026C17" w:rsidRPr="003062FE" w:rsidRDefault="00026C17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</w:tr>
      <w:tr w:rsidR="009622D8" w:rsidRPr="003062FE" w:rsidTr="003062FE">
        <w:tc>
          <w:tcPr>
            <w:tcW w:w="675" w:type="dxa"/>
          </w:tcPr>
          <w:p w:rsidR="009622D8" w:rsidRPr="003062FE" w:rsidRDefault="00026C17" w:rsidP="003062F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</w:t>
            </w:r>
            <w:r w:rsidR="009622D8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22D8" w:rsidRPr="003062FE" w:rsidRDefault="009622D8" w:rsidP="003062FE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>Apgrozījums</w:t>
            </w:r>
          </w:p>
        </w:tc>
        <w:tc>
          <w:tcPr>
            <w:tcW w:w="3828" w:type="dxa"/>
          </w:tcPr>
          <w:p w:rsidR="009622D8" w:rsidRPr="003062FE" w:rsidRDefault="009622D8" w:rsidP="005F0FA1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Mežsaimniecības preču un pakalpojumu apgrozījums starp kooperatīvu un tā biedriem procentos no kooperatīva </w:t>
            </w:r>
            <w:r w:rsidR="005F0FA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</w:t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saimniecības preču un pakalpojumu kopējā apgrozījuma</w:t>
            </w:r>
          </w:p>
        </w:tc>
        <w:tc>
          <w:tcPr>
            <w:tcW w:w="1842" w:type="dxa"/>
          </w:tcPr>
          <w:p w:rsidR="009622D8" w:rsidRPr="003062FE" w:rsidRDefault="009622D8" w:rsidP="00961D3B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>Par katru pilnu procentu, kas pārsniedz 50</w:t>
            </w:r>
            <w:r w:rsidR="000D0F0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>% no kopējā apgrozījuma apmēra</w:t>
            </w:r>
            <w:r w:rsidR="0098007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p</w:t>
            </w:r>
            <w:r w:rsidR="00026C17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iešķir</w:t>
            </w:r>
            <w:r w:rsidR="000D0F0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0,2 </w:t>
            </w:r>
            <w:r w:rsidR="00763798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punkt</w:t>
            </w:r>
            <w:r w:rsidR="00961D3B">
              <w:rPr>
                <w:rFonts w:ascii="Times New Roman" w:hAnsi="Times New Roman"/>
                <w:spacing w:val="-2"/>
                <w:sz w:val="24"/>
                <w:szCs w:val="24"/>
              </w:rPr>
              <w:t>us</w:t>
            </w:r>
          </w:p>
        </w:tc>
        <w:tc>
          <w:tcPr>
            <w:tcW w:w="1276" w:type="dxa"/>
            <w:vAlign w:val="center"/>
          </w:tcPr>
          <w:p w:rsidR="009622D8" w:rsidRPr="003062FE" w:rsidRDefault="00026C17" w:rsidP="003062FE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</w:tr>
      <w:tr w:rsidR="009622D8" w:rsidRPr="003062FE" w:rsidTr="003062FE">
        <w:tc>
          <w:tcPr>
            <w:tcW w:w="675" w:type="dxa"/>
            <w:vMerge w:val="restart"/>
            <w:shd w:val="clear" w:color="auto" w:fill="auto"/>
          </w:tcPr>
          <w:p w:rsidR="009622D8" w:rsidRPr="003062FE" w:rsidRDefault="00026C17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5</w:t>
            </w:r>
            <w:r w:rsidR="009622D8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22D8" w:rsidRPr="003062FE" w:rsidRDefault="00477252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Meža īpašnieki </w:t>
            </w:r>
          </w:p>
        </w:tc>
        <w:tc>
          <w:tcPr>
            <w:tcW w:w="3828" w:type="dxa"/>
            <w:shd w:val="clear" w:color="auto" w:fill="auto"/>
          </w:tcPr>
          <w:p w:rsidR="009622D8" w:rsidRPr="003062FE" w:rsidRDefault="00980079" w:rsidP="003062FE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Vairāk nekā </w:t>
            </w:r>
            <w:r w:rsidR="00044362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  <w:r w:rsidR="007D776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 </w:t>
            </w: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no biedru kopskaita </w:t>
            </w:r>
            <w:r w:rsidR="009622D8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ir </w:t>
            </w:r>
            <w:r w:rsidR="009B2CA0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meža īpašnieki</w:t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 kuru</w:t>
            </w:r>
            <w:r w:rsidR="0047725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E500E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īpašumā </w:t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ir</w:t>
            </w:r>
            <w:r w:rsidR="00E500E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47725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</w:t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="008E299E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DF07B7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līdz 30</w:t>
            </w:r>
            <w:r w:rsidR="007D776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 </w:t>
            </w:r>
            <w:r w:rsidR="00DF07B7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ha</w:t>
            </w: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platībā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622D8" w:rsidRPr="003062FE" w:rsidRDefault="001867C6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9622D8" w:rsidRPr="003062FE" w:rsidRDefault="001867C6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10</w:t>
            </w:r>
          </w:p>
        </w:tc>
      </w:tr>
      <w:tr w:rsidR="009622D8" w:rsidRPr="003062FE" w:rsidTr="003062FE">
        <w:tc>
          <w:tcPr>
            <w:tcW w:w="675" w:type="dxa"/>
            <w:vMerge/>
            <w:shd w:val="clear" w:color="auto" w:fill="auto"/>
          </w:tcPr>
          <w:p w:rsidR="009622D8" w:rsidRPr="003062FE" w:rsidRDefault="009622D8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22D8" w:rsidRPr="003062FE" w:rsidDel="004600D5" w:rsidRDefault="009622D8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shd w:val="clear" w:color="auto" w:fill="auto"/>
          </w:tcPr>
          <w:p w:rsidR="009622D8" w:rsidRPr="003062FE" w:rsidRDefault="007D7763" w:rsidP="007D7763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>15–</w:t>
            </w:r>
            <w:r w:rsidR="0089386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="0098007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no biedru kopskaita </w:t>
            </w:r>
            <w:r w:rsidR="009622D8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ir </w:t>
            </w:r>
            <w:r w:rsidR="009B2CA0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meža īpašnieki</w:t>
            </w:r>
            <w:r w:rsidR="00980079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 kuru</w:t>
            </w:r>
            <w:r w:rsidR="0047725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E500E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īpašumā </w:t>
            </w:r>
            <w:r w:rsidR="00980079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ir</w:t>
            </w:r>
            <w:r w:rsidR="00E500E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47725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</w:t>
            </w:r>
            <w:r w:rsidR="00980079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līdz 30 </w:t>
            </w:r>
            <w:r w:rsidR="00477252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ha </w:t>
            </w:r>
            <w:r w:rsidR="00980079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platībā</w:t>
            </w:r>
            <w:r w:rsidR="00980079" w:rsidRPr="003062FE" w:rsidDel="0098007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622D8" w:rsidRPr="003062FE" w:rsidRDefault="001867C6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622D8" w:rsidRPr="003062FE" w:rsidRDefault="009622D8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</w:tr>
      <w:tr w:rsidR="009622D8" w:rsidRPr="003062FE" w:rsidTr="003062FE">
        <w:trPr>
          <w:trHeight w:val="459"/>
        </w:trPr>
        <w:tc>
          <w:tcPr>
            <w:tcW w:w="675" w:type="dxa"/>
            <w:vMerge/>
            <w:shd w:val="clear" w:color="auto" w:fill="auto"/>
          </w:tcPr>
          <w:p w:rsidR="009622D8" w:rsidRPr="003062FE" w:rsidRDefault="009622D8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22D8" w:rsidRPr="003062FE" w:rsidRDefault="009622D8" w:rsidP="003062FE">
            <w:pPr>
              <w:pStyle w:val="NoSpacing"/>
              <w:ind w:left="-57" w:right="-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shd w:val="clear" w:color="auto" w:fill="auto"/>
          </w:tcPr>
          <w:p w:rsidR="009622D8" w:rsidRPr="003062FE" w:rsidRDefault="002B2A77" w:rsidP="003062FE">
            <w:pPr>
              <w:ind w:left="-57" w:right="-57"/>
              <w:jc w:val="left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Mazāk </w:t>
            </w:r>
            <w:r w:rsidR="00367EB7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nekā </w:t>
            </w:r>
            <w:r w:rsidR="00893869" w:rsidRPr="003062F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  <w:r w:rsidR="007D776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 </w:t>
            </w:r>
            <w:r w:rsidR="00367EB7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no biedru kopskaita </w:t>
            </w:r>
            <w:r w:rsidR="00477252" w:rsidRPr="003062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ir </w:t>
            </w:r>
            <w:r w:rsidR="009B2CA0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meža īpašnieki</w:t>
            </w:r>
            <w:r w:rsidR="00367EB7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 kuru īpašumā ir mežs līdz 30</w:t>
            </w:r>
            <w:r w:rsidR="007D776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 </w:t>
            </w:r>
            <w:r w:rsidR="00367EB7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ha platībā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622D8" w:rsidRPr="003062FE" w:rsidRDefault="001867C6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9622D8" w:rsidRPr="003062FE" w:rsidRDefault="009622D8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</w:tr>
      <w:tr w:rsidR="0004457F" w:rsidRPr="003062FE" w:rsidTr="007D776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026C17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6</w:t>
            </w:r>
            <w:r w:rsidR="0004457F"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2E447F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Starptautiski atzītas meža sertifikācijas sistēmas </w:t>
            </w:r>
            <w:r w:rsidRPr="003062FE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t>m</w:t>
            </w:r>
            <w:r w:rsidR="0004457F" w:rsidRPr="003062FE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t>eža apsa</w:t>
            </w:r>
            <w:r w:rsidR="000D0F09" w:rsidRPr="003062FE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t>imnieko</w:t>
            </w:r>
            <w:r w:rsidR="007D7763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softHyphen/>
            </w:r>
            <w:r w:rsidR="000D0F09" w:rsidRPr="003062FE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t>šanas grupas sertifikāts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04457F" w:rsidP="003062FE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Sabiedrībai ir </w:t>
            </w:r>
            <w:r w:rsidR="002E447F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starptautiski atzītas meža sertifikācijas sistēmas </w:t>
            </w:r>
            <w:r w:rsidRPr="003062FE">
              <w:rPr>
                <w:rStyle w:val="Strong"/>
                <w:rFonts w:ascii="Times New Roman" w:hAnsi="Times New Roman"/>
                <w:b w:val="0"/>
                <w:color w:val="000000"/>
                <w:spacing w:val="-2"/>
                <w:sz w:val="24"/>
                <w:szCs w:val="24"/>
              </w:rPr>
              <w:t>meža apsaimniekošanas grupas sertifikāts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7F" w:rsidRPr="003062FE" w:rsidRDefault="0004457F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7F" w:rsidRPr="003062FE" w:rsidRDefault="0004457F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5</w:t>
            </w:r>
          </w:p>
        </w:tc>
      </w:tr>
      <w:tr w:rsidR="0004457F" w:rsidRPr="003062FE" w:rsidTr="007D7763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04457F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04457F" w:rsidP="003062FE">
            <w:pPr>
              <w:pStyle w:val="NoSpacing"/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7F" w:rsidRPr="003062FE" w:rsidRDefault="0004457F" w:rsidP="003062FE">
            <w:pPr>
              <w:ind w:left="-57" w:right="-57"/>
              <w:jc w:val="left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Sabiedrībai nav </w:t>
            </w:r>
            <w:r w:rsidR="000F2546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s</w:t>
            </w:r>
            <w:r w:rsidR="002E447F" w:rsidRPr="003062F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tarptautiski atzītas meža sertifikācijas sistēmas </w:t>
            </w:r>
            <w:r w:rsidRPr="003062FE">
              <w:rPr>
                <w:rStyle w:val="Strong"/>
                <w:rFonts w:ascii="Times New Roman" w:hAnsi="Times New Roman"/>
                <w:b w:val="0"/>
                <w:spacing w:val="-2"/>
                <w:sz w:val="24"/>
                <w:szCs w:val="24"/>
              </w:rPr>
              <w:t>meža apsaimniekošanas grupas sertifikāt</w:t>
            </w:r>
            <w:r w:rsidR="00367EB7" w:rsidRPr="003062FE">
              <w:rPr>
                <w:rStyle w:val="Strong"/>
                <w:rFonts w:ascii="Times New Roman" w:hAnsi="Times New Roman"/>
                <w:b w:val="0"/>
                <w:spacing w:val="-2"/>
                <w:sz w:val="24"/>
                <w:szCs w:val="24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7F" w:rsidRPr="003062FE" w:rsidRDefault="0004457F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7F" w:rsidRPr="003062FE" w:rsidRDefault="0004457F" w:rsidP="003062FE">
            <w:pPr>
              <w:pStyle w:val="NoSpacing"/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</w:p>
        </w:tc>
      </w:tr>
      <w:tr w:rsidR="000D0F09" w:rsidRPr="003062FE" w:rsidTr="00AF70A9">
        <w:tc>
          <w:tcPr>
            <w:tcW w:w="80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09" w:rsidRPr="003062FE" w:rsidRDefault="000D0F09" w:rsidP="003062FE">
            <w:pPr>
              <w:pStyle w:val="NoSpacing"/>
              <w:ind w:left="-57" w:right="-57"/>
              <w:jc w:val="right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09" w:rsidRPr="003062FE" w:rsidRDefault="000D0F09" w:rsidP="003062FE">
            <w:pPr>
              <w:pStyle w:val="NoSpacing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lv-LV"/>
              </w:rPr>
            </w:pPr>
            <w:r w:rsidRPr="003062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100</w:t>
            </w:r>
          </w:p>
        </w:tc>
      </w:tr>
      <w:tr w:rsidR="002F4760" w:rsidRPr="003062FE" w:rsidTr="007371D8">
        <w:tc>
          <w:tcPr>
            <w:tcW w:w="9322" w:type="dxa"/>
            <w:gridSpan w:val="5"/>
          </w:tcPr>
          <w:p w:rsidR="002F4760" w:rsidRPr="003062FE" w:rsidRDefault="002F4760" w:rsidP="003062FE">
            <w:pPr>
              <w:ind w:left="-57" w:right="-57"/>
              <w:jc w:val="left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3062F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Minimālais punktu skaits, lai pretendētu uz atbalstu, ir 30 punktu</w:t>
            </w:r>
          </w:p>
        </w:tc>
      </w:tr>
    </w:tbl>
    <w:p w:rsidR="009622D8" w:rsidRPr="005E39FF" w:rsidRDefault="009622D8" w:rsidP="000D0F09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7344DB" w:rsidRPr="000A019F" w:rsidRDefault="00B73C9F" w:rsidP="000D0F09">
      <w:pPr>
        <w:tabs>
          <w:tab w:val="left" w:pos="6379"/>
        </w:tabs>
        <w:ind w:firstLine="720"/>
        <w:rPr>
          <w:rFonts w:ascii="Times New Roman" w:hAnsi="Times New Roman"/>
          <w:sz w:val="24"/>
          <w:szCs w:val="24"/>
        </w:rPr>
      </w:pPr>
      <w:r w:rsidRPr="000010CB">
        <w:rPr>
          <w:rFonts w:ascii="Times New Roman" w:hAnsi="Times New Roman"/>
          <w:spacing w:val="-2"/>
          <w:sz w:val="24"/>
          <w:szCs w:val="24"/>
        </w:rPr>
        <w:t xml:space="preserve">Piezīme. </w:t>
      </w:r>
      <w:r w:rsidR="00FC1030" w:rsidRPr="000010CB">
        <w:rPr>
          <w:rFonts w:ascii="Times New Roman" w:hAnsi="Times New Roman"/>
          <w:spacing w:val="-2"/>
          <w:sz w:val="24"/>
          <w:szCs w:val="24"/>
        </w:rPr>
        <w:t>Ja atbilstoši biznesa plāna atlases kritērijiem iegūto punktu skaits ir vienāds, priekšroka saņemt publisko finansējumu ir atbalsta pretendentam, kurš ieguvis lielāku punktu skaitu kritērijā, kas pamato biznesa plānā izvēlētās aktivitātes</w:t>
      </w:r>
      <w:r w:rsidR="000F2546" w:rsidRPr="000010CB">
        <w:rPr>
          <w:rFonts w:ascii="Times New Roman" w:hAnsi="Times New Roman"/>
          <w:spacing w:val="-2"/>
          <w:sz w:val="24"/>
          <w:szCs w:val="24"/>
        </w:rPr>
        <w:t>,</w:t>
      </w:r>
      <w:r w:rsidR="00FC1030" w:rsidRPr="000010CB">
        <w:rPr>
          <w:rFonts w:ascii="Times New Roman" w:hAnsi="Times New Roman"/>
          <w:spacing w:val="-2"/>
          <w:sz w:val="24"/>
          <w:szCs w:val="24"/>
        </w:rPr>
        <w:t xml:space="preserve"> un kritērijā par riska faktoru izvērtējumu. Ja šajos kritērijos iegūto punktu skaits ir vienāds, vērtē arī kritēriju, kur</w:t>
      </w:r>
      <w:r w:rsidR="00076A1B" w:rsidRPr="000010CB">
        <w:rPr>
          <w:rFonts w:ascii="Times New Roman" w:hAnsi="Times New Roman"/>
          <w:spacing w:val="-2"/>
          <w:sz w:val="24"/>
          <w:szCs w:val="24"/>
        </w:rPr>
        <w:t xml:space="preserve"> vislielāko punktu</w:t>
      </w:r>
      <w:r w:rsidR="00076A1B" w:rsidRPr="000A019F">
        <w:rPr>
          <w:rFonts w:ascii="Times New Roman" w:hAnsi="Times New Roman"/>
          <w:sz w:val="24"/>
          <w:szCs w:val="24"/>
        </w:rPr>
        <w:t xml:space="preserve"> skaitu veido biedri ar maziem meža īpašumiem</w:t>
      </w:r>
      <w:r w:rsidR="007344DB" w:rsidRPr="000A019F">
        <w:rPr>
          <w:rFonts w:ascii="Times New Roman" w:hAnsi="Times New Roman"/>
          <w:sz w:val="24"/>
          <w:szCs w:val="24"/>
        </w:rPr>
        <w:t xml:space="preserve">. </w:t>
      </w:r>
    </w:p>
    <w:p w:rsidR="00C72E40" w:rsidRPr="00A4328E" w:rsidRDefault="00C72E40" w:rsidP="000D0F09">
      <w:pPr>
        <w:ind w:firstLine="720"/>
        <w:rPr>
          <w:rFonts w:ascii="Times New Roman" w:hAnsi="Times New Roman"/>
          <w:sz w:val="28"/>
          <w:szCs w:val="28"/>
        </w:rPr>
      </w:pPr>
    </w:p>
    <w:p w:rsidR="005E39FF" w:rsidRPr="00A4328E" w:rsidRDefault="005E39FF" w:rsidP="00593708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5E39FF" w:rsidRPr="00A4328E" w:rsidSect="00A4328E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F1" w:rsidRDefault="00E91EF1" w:rsidP="00F95C86">
      <w:r>
        <w:separator/>
      </w:r>
    </w:p>
  </w:endnote>
  <w:endnote w:type="continuationSeparator" w:id="0">
    <w:p w:rsidR="00E91EF1" w:rsidRDefault="00E91EF1" w:rsidP="00F9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8E" w:rsidRPr="00A4328E" w:rsidRDefault="00A4328E" w:rsidP="00A4328E">
    <w:pPr>
      <w:pStyle w:val="Footer"/>
      <w:rPr>
        <w:rFonts w:ascii="Times New Roman" w:hAnsi="Times New Roman"/>
        <w:sz w:val="16"/>
        <w:szCs w:val="16"/>
      </w:rPr>
    </w:pPr>
    <w:r w:rsidRPr="00A4328E">
      <w:rPr>
        <w:rFonts w:ascii="Times New Roman" w:hAnsi="Times New Roman"/>
        <w:sz w:val="16"/>
        <w:szCs w:val="16"/>
      </w:rPr>
      <w:t>N0167_5p1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8E" w:rsidRPr="00A4328E" w:rsidRDefault="00A4328E">
    <w:pPr>
      <w:pStyle w:val="Footer"/>
      <w:rPr>
        <w:rFonts w:ascii="Times New Roman" w:hAnsi="Times New Roman"/>
        <w:sz w:val="16"/>
        <w:szCs w:val="16"/>
      </w:rPr>
    </w:pPr>
    <w:r w:rsidRPr="00A4328E">
      <w:rPr>
        <w:rFonts w:ascii="Times New Roman" w:hAnsi="Times New Roman"/>
        <w:sz w:val="16"/>
        <w:szCs w:val="16"/>
      </w:rPr>
      <w:t>N0167_5p1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F1" w:rsidRDefault="00E91EF1" w:rsidP="00F95C86">
      <w:r>
        <w:separator/>
      </w:r>
    </w:p>
  </w:footnote>
  <w:footnote w:type="continuationSeparator" w:id="0">
    <w:p w:rsidR="00E91EF1" w:rsidRDefault="00E91EF1" w:rsidP="00F9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046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733D0" w:rsidRPr="00A4328E" w:rsidRDefault="00E407F7">
        <w:pPr>
          <w:pStyle w:val="Header"/>
          <w:jc w:val="center"/>
          <w:rPr>
            <w:rFonts w:ascii="Times New Roman" w:hAnsi="Times New Roman"/>
            <w:sz w:val="24"/>
          </w:rPr>
        </w:pPr>
        <w:r w:rsidRPr="00A4328E">
          <w:rPr>
            <w:rFonts w:ascii="Times New Roman" w:hAnsi="Times New Roman"/>
            <w:sz w:val="24"/>
          </w:rPr>
          <w:fldChar w:fldCharType="begin"/>
        </w:r>
        <w:r w:rsidR="002733D0" w:rsidRPr="00A4328E">
          <w:rPr>
            <w:rFonts w:ascii="Times New Roman" w:hAnsi="Times New Roman"/>
            <w:sz w:val="24"/>
          </w:rPr>
          <w:instrText>PAGE   \* MERGEFORMAT</w:instrText>
        </w:r>
        <w:r w:rsidRPr="00A4328E">
          <w:rPr>
            <w:rFonts w:ascii="Times New Roman" w:hAnsi="Times New Roman"/>
            <w:sz w:val="24"/>
          </w:rPr>
          <w:fldChar w:fldCharType="separate"/>
        </w:r>
        <w:r w:rsidR="00593708">
          <w:rPr>
            <w:rFonts w:ascii="Times New Roman" w:hAnsi="Times New Roman"/>
            <w:noProof/>
            <w:sz w:val="24"/>
          </w:rPr>
          <w:t>3</w:t>
        </w:r>
        <w:r w:rsidRPr="00A4328E">
          <w:rPr>
            <w:rFonts w:ascii="Times New Roman" w:hAnsi="Times New Roman"/>
            <w:sz w:val="24"/>
          </w:rPr>
          <w:fldChar w:fldCharType="end"/>
        </w:r>
      </w:p>
    </w:sdtContent>
  </w:sdt>
  <w:p w:rsidR="002733D0" w:rsidRDefault="0027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6EB"/>
    <w:multiLevelType w:val="hybridMultilevel"/>
    <w:tmpl w:val="4DB8E754"/>
    <w:lvl w:ilvl="0" w:tplc="0D38875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601"/>
    <w:rsid w:val="000010CB"/>
    <w:rsid w:val="0000381F"/>
    <w:rsid w:val="00026C17"/>
    <w:rsid w:val="00044362"/>
    <w:rsid w:val="0004457F"/>
    <w:rsid w:val="00067601"/>
    <w:rsid w:val="00076A1B"/>
    <w:rsid w:val="00077E26"/>
    <w:rsid w:val="00092244"/>
    <w:rsid w:val="000A019F"/>
    <w:rsid w:val="000A5AC6"/>
    <w:rsid w:val="000C25F2"/>
    <w:rsid w:val="000C698A"/>
    <w:rsid w:val="000D0F09"/>
    <w:rsid w:val="000F2546"/>
    <w:rsid w:val="00150DC2"/>
    <w:rsid w:val="0016461D"/>
    <w:rsid w:val="001723FB"/>
    <w:rsid w:val="001867C6"/>
    <w:rsid w:val="001B6628"/>
    <w:rsid w:val="001D701A"/>
    <w:rsid w:val="001F5A8C"/>
    <w:rsid w:val="00203192"/>
    <w:rsid w:val="00204C8B"/>
    <w:rsid w:val="0021520A"/>
    <w:rsid w:val="002234C7"/>
    <w:rsid w:val="00234FF8"/>
    <w:rsid w:val="002610E7"/>
    <w:rsid w:val="002733D0"/>
    <w:rsid w:val="00290663"/>
    <w:rsid w:val="00290681"/>
    <w:rsid w:val="002B0820"/>
    <w:rsid w:val="002B1F57"/>
    <w:rsid w:val="002B2A77"/>
    <w:rsid w:val="002B4C65"/>
    <w:rsid w:val="002C4B3D"/>
    <w:rsid w:val="002E3040"/>
    <w:rsid w:val="002E447F"/>
    <w:rsid w:val="002F4760"/>
    <w:rsid w:val="002F56A4"/>
    <w:rsid w:val="003062FE"/>
    <w:rsid w:val="00334A3A"/>
    <w:rsid w:val="00367E15"/>
    <w:rsid w:val="00367EB7"/>
    <w:rsid w:val="00400023"/>
    <w:rsid w:val="0041008C"/>
    <w:rsid w:val="00437960"/>
    <w:rsid w:val="0044275F"/>
    <w:rsid w:val="00457B4C"/>
    <w:rsid w:val="00461998"/>
    <w:rsid w:val="00477252"/>
    <w:rsid w:val="004C2797"/>
    <w:rsid w:val="004D638D"/>
    <w:rsid w:val="0050186B"/>
    <w:rsid w:val="005041D2"/>
    <w:rsid w:val="00593708"/>
    <w:rsid w:val="005B30D3"/>
    <w:rsid w:val="005B3DA5"/>
    <w:rsid w:val="005B512F"/>
    <w:rsid w:val="005C4E7E"/>
    <w:rsid w:val="005C6448"/>
    <w:rsid w:val="005D5A59"/>
    <w:rsid w:val="005E03FA"/>
    <w:rsid w:val="005E05A0"/>
    <w:rsid w:val="005E39FF"/>
    <w:rsid w:val="005E7123"/>
    <w:rsid w:val="005F0FA1"/>
    <w:rsid w:val="005F131F"/>
    <w:rsid w:val="005F5B1A"/>
    <w:rsid w:val="006006C7"/>
    <w:rsid w:val="006044A6"/>
    <w:rsid w:val="00641592"/>
    <w:rsid w:val="00652F9E"/>
    <w:rsid w:val="00676AC5"/>
    <w:rsid w:val="00713168"/>
    <w:rsid w:val="00720028"/>
    <w:rsid w:val="007344DB"/>
    <w:rsid w:val="00734A8C"/>
    <w:rsid w:val="007560A2"/>
    <w:rsid w:val="00763798"/>
    <w:rsid w:val="00796AF1"/>
    <w:rsid w:val="00797D16"/>
    <w:rsid w:val="007A69A8"/>
    <w:rsid w:val="007D117D"/>
    <w:rsid w:val="007D66FB"/>
    <w:rsid w:val="007D7763"/>
    <w:rsid w:val="007F69A3"/>
    <w:rsid w:val="00821B7D"/>
    <w:rsid w:val="0087269C"/>
    <w:rsid w:val="00876721"/>
    <w:rsid w:val="00893869"/>
    <w:rsid w:val="008B177C"/>
    <w:rsid w:val="008C3644"/>
    <w:rsid w:val="008C60C4"/>
    <w:rsid w:val="008E299E"/>
    <w:rsid w:val="008F6E17"/>
    <w:rsid w:val="0090621F"/>
    <w:rsid w:val="00922501"/>
    <w:rsid w:val="0092675B"/>
    <w:rsid w:val="00961D3B"/>
    <w:rsid w:val="009622D8"/>
    <w:rsid w:val="00980079"/>
    <w:rsid w:val="0099309F"/>
    <w:rsid w:val="0099689A"/>
    <w:rsid w:val="009B2CA0"/>
    <w:rsid w:val="009C17FD"/>
    <w:rsid w:val="00A14CFE"/>
    <w:rsid w:val="00A16B9D"/>
    <w:rsid w:val="00A4105F"/>
    <w:rsid w:val="00A4328E"/>
    <w:rsid w:val="00A43FC1"/>
    <w:rsid w:val="00A66C94"/>
    <w:rsid w:val="00A96CD9"/>
    <w:rsid w:val="00AA5E24"/>
    <w:rsid w:val="00AC6022"/>
    <w:rsid w:val="00AD1F91"/>
    <w:rsid w:val="00AD5C0B"/>
    <w:rsid w:val="00AF70A9"/>
    <w:rsid w:val="00B20F0C"/>
    <w:rsid w:val="00B31533"/>
    <w:rsid w:val="00B514F4"/>
    <w:rsid w:val="00B73C9F"/>
    <w:rsid w:val="00B73EDA"/>
    <w:rsid w:val="00B82D0D"/>
    <w:rsid w:val="00B87775"/>
    <w:rsid w:val="00BB534B"/>
    <w:rsid w:val="00BD0233"/>
    <w:rsid w:val="00BD3538"/>
    <w:rsid w:val="00BE0F2D"/>
    <w:rsid w:val="00BF0DD2"/>
    <w:rsid w:val="00C376D9"/>
    <w:rsid w:val="00C37DF5"/>
    <w:rsid w:val="00C51D18"/>
    <w:rsid w:val="00C559EE"/>
    <w:rsid w:val="00C700FB"/>
    <w:rsid w:val="00C72E3C"/>
    <w:rsid w:val="00C72E40"/>
    <w:rsid w:val="00C76DD9"/>
    <w:rsid w:val="00C91E02"/>
    <w:rsid w:val="00CA7AB2"/>
    <w:rsid w:val="00CD55CC"/>
    <w:rsid w:val="00CE0284"/>
    <w:rsid w:val="00CE7D35"/>
    <w:rsid w:val="00D579DD"/>
    <w:rsid w:val="00D7731A"/>
    <w:rsid w:val="00D803DF"/>
    <w:rsid w:val="00D83407"/>
    <w:rsid w:val="00DA7F94"/>
    <w:rsid w:val="00DD04E4"/>
    <w:rsid w:val="00DD6FBA"/>
    <w:rsid w:val="00DE0D8E"/>
    <w:rsid w:val="00DF07B7"/>
    <w:rsid w:val="00E407F7"/>
    <w:rsid w:val="00E45165"/>
    <w:rsid w:val="00E500E2"/>
    <w:rsid w:val="00E735DF"/>
    <w:rsid w:val="00E91EF1"/>
    <w:rsid w:val="00E96E70"/>
    <w:rsid w:val="00EA6946"/>
    <w:rsid w:val="00EB10D7"/>
    <w:rsid w:val="00ED216E"/>
    <w:rsid w:val="00F064AA"/>
    <w:rsid w:val="00F170AA"/>
    <w:rsid w:val="00F365D7"/>
    <w:rsid w:val="00F456CA"/>
    <w:rsid w:val="00F70974"/>
    <w:rsid w:val="00F84548"/>
    <w:rsid w:val="00F95C86"/>
    <w:rsid w:val="00FC1030"/>
    <w:rsid w:val="00FE52CD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01"/>
    <w:pPr>
      <w:spacing w:after="0" w:line="240" w:lineRule="auto"/>
      <w:jc w:val="both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67601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67601"/>
    <w:pPr>
      <w:spacing w:before="100" w:after="100"/>
      <w:jc w:val="righ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676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067601"/>
    <w:pPr>
      <w:spacing w:before="100" w:after="100"/>
      <w:ind w:firstLine="50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4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28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95C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6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nhideWhenUsed/>
    <w:rsid w:val="00F95C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6"/>
    <w:rPr>
      <w:rFonts w:ascii="Calibri" w:hAnsi="Calibri" w:cs="Times New Roman"/>
      <w:lang w:eastAsia="lv-LV"/>
    </w:rPr>
  </w:style>
  <w:style w:type="character" w:styleId="Strong">
    <w:name w:val="Strong"/>
    <w:basedOn w:val="DefaultParagraphFont"/>
    <w:uiPriority w:val="22"/>
    <w:qFormat/>
    <w:rsid w:val="00A4105F"/>
    <w:rPr>
      <w:b/>
      <w:bCs/>
    </w:rPr>
  </w:style>
  <w:style w:type="paragraph" w:styleId="ListParagraph">
    <w:name w:val="List Paragraph"/>
    <w:basedOn w:val="Normal"/>
    <w:uiPriority w:val="34"/>
    <w:qFormat/>
    <w:rsid w:val="00BB5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01"/>
    <w:pPr>
      <w:spacing w:after="0" w:line="240" w:lineRule="auto"/>
      <w:jc w:val="both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67601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67601"/>
    <w:pPr>
      <w:spacing w:before="100" w:after="100"/>
      <w:jc w:val="righ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676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067601"/>
    <w:pPr>
      <w:spacing w:before="100" w:after="100"/>
      <w:ind w:firstLine="50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4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28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95C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6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nhideWhenUsed/>
    <w:rsid w:val="00F95C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6"/>
    <w:rPr>
      <w:rFonts w:ascii="Calibri" w:hAnsi="Calibri" w:cs="Times New Roman"/>
      <w:lang w:eastAsia="lv-LV"/>
    </w:rPr>
  </w:style>
  <w:style w:type="character" w:styleId="Strong">
    <w:name w:val="Strong"/>
    <w:basedOn w:val="DefaultParagraphFont"/>
    <w:uiPriority w:val="22"/>
    <w:qFormat/>
    <w:rsid w:val="00A4105F"/>
    <w:rPr>
      <w:b/>
      <w:bCs/>
    </w:rPr>
  </w:style>
  <w:style w:type="paragraph" w:styleId="ListParagraph">
    <w:name w:val="List Paragraph"/>
    <w:basedOn w:val="Normal"/>
    <w:uiPriority w:val="34"/>
    <w:qFormat/>
    <w:rsid w:val="00BB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3705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„Noteikumi par valsts un Eiropas Savienības atbalsta piešķiršanas kārtību pasākumam “Ražotāju grupu un organizāciju izveide””</vt:lpstr>
      <vt:lpstr>Ministru kabineta noteikumu projekts „Noteikumi par valsts un Eiropas Savienības atbalsta piešķiršanas kārtību pasākumam “Ražotāju grupu un organizāciju izveide””</vt:lpstr>
    </vt:vector>
  </TitlesOfParts>
  <Company>Zemkopības Ministrija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„Noteikumi par valsts un Eiropas Savienības atbalsta piešķiršanas kārtību pasākumam “Ražotāju grupu un organizāciju izveide””</dc:title>
  <dc:subject>1.pielikums</dc:subject>
  <dc:creator>Diana Urdzina</dc:creator>
  <cp:lastModifiedBy>Vija Škutāne</cp:lastModifiedBy>
  <cp:revision>3</cp:revision>
  <cp:lastPrinted>2015-02-11T08:57:00Z</cp:lastPrinted>
  <dcterms:created xsi:type="dcterms:W3CDTF">2015-02-11T08:57:00Z</dcterms:created>
  <dcterms:modified xsi:type="dcterms:W3CDTF">2021-08-27T06:18:00Z</dcterms:modified>
</cp:coreProperties>
</file>