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00"/>
        </w:tabs>
        <w:spacing w:after="0" w:before="0" w:line="240" w:lineRule="auto"/>
        <w:ind w:left="0" w:right="0" w:firstLine="0"/>
        <w:jc w:val="left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Nosacījumi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(1. tabula)</w:t>
      </w:r>
    </w:p>
    <w:tbl>
      <w:tblPr>
        <w:tblStyle w:val="Table1"/>
        <w:tblW w:w="9864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9"/>
        <w:gridCol w:w="6485"/>
        <w:gridCol w:w="10"/>
        <w:tblGridChange w:id="0">
          <w:tblGrid>
            <w:gridCol w:w="3369"/>
            <w:gridCol w:w="6485"/>
            <w:gridCol w:w="10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11.99999999999994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Šķirnes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Sarkano šķirņu grupa, Holšteinas šķirne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Pazīmes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Izslaukums (kg), tauku daudzums (kg), olbaltumvielu daudzums (kg), tauku saturs (%), olbaltumvielu saturs (%), kontroles dienas rādītāji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Datu iegūšanas metodes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Pārraudzības datu uzskaite saskaņā ar ICAR noteiktajām metodēm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Laika periods, laktācijas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Visi kontroles dienu rādītāji no 1996. gada, pirmās trīs laktācijas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Citi kritēriji datu atbilstības noteikšanai un pārbaudei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1. atnešanās vecums 20 – 40 mēneši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2. atnešanās vecums 30 – 56 mēneši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3. atnešanās vecums 40 – 75 mēneši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Visas kontroles starp 5. un 330. slaukšanas dienu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Izslaukums robežās no 3.0 kg līdz 90.0 kg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Tauku saturs robežās no 1.5 % līdz 9.0 %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Olbaltumvielu saturs robežās līdz 1.0 % līdz 7.0 %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Ģenētiskās novērtēšanas modelis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Vienas pazīmes – Daudzlaktāciju – Randomais Regresijas – Kontroles dienas – BLUP – Dzīvnieka (ST – ML – RR – TD – BLUP – AM)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Vides faktori ģenētiskās novērtēšanas modelī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Fiksētie: ganāmpulka – kontroles dienas faktors 1. laktācijā un apvienots 2., 3. laktācijā, fiksētās laktācijas līknes definētas pēc laktācijas numura* šķirnes * atnešanās vecuma klases* atnešanās sezonas * starpatnešanās intervāla klases ar kopējo skaitu 1350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Randomie: govs permanentās vides faktors laktācijā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Ģenētiskās grupas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Ģenētiskās grupas definētas dzīvnieka nezināmiem vecākiem, ņemot vērā šķirni, dzimumu, dzīvnieka dzimšanas gadu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Sistēmas validācija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Datu kvalitātes (pirmdati, izcelšanās informācija utt.) un rezultātu (ciltsvērtību izmaiņas starp novērtējumiem, to stabilitāte utt.) pārbaude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Novērtējuma izteikšana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NCV (novērtētā ciltsvērtība)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Ģenētiskās bāzes definēšana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Nākošā bāzes maiņa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NCV: visas govis, kas dzimušas 2010. gadā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NCV: 2020. gadā (bāzes populācijā 2015. gadā dzimušās govis)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Publicēšanas kritēriji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Novērtējuma ticamība vismaz 50 % un meitas vismaz 10 ganāmpulkos. Pārbaudes buļļu meitām ticamība vismaz 75%.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Novērtējumu skaits gadā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 / Aprīlis, Augusts, Decembris (atbilstoši Interbull)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Kopējais (Ražības) indekss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  <w:vertAlign w:val="subscript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30 % NCV</w:t>
            </w:r>
            <w:r w:rsidDel="00000000" w:rsidR="00000000" w:rsidRPr="00000000">
              <w:rPr>
                <w:smallCaps w:val="0"/>
                <w:sz w:val="22"/>
                <w:szCs w:val="22"/>
                <w:vertAlign w:val="subscript"/>
                <w:rtl w:val="0"/>
              </w:rPr>
              <w:t xml:space="preserve">izslaukums</w:t>
            </w: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, 10 % NCV</w:t>
            </w:r>
            <w:r w:rsidDel="00000000" w:rsidR="00000000" w:rsidRPr="00000000">
              <w:rPr>
                <w:smallCaps w:val="0"/>
                <w:sz w:val="22"/>
                <w:szCs w:val="22"/>
                <w:vertAlign w:val="subscript"/>
                <w:rtl w:val="0"/>
              </w:rPr>
              <w:t xml:space="preserve">tauku kg</w:t>
            </w: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, 60 % NCV</w:t>
            </w:r>
            <w:r w:rsidDel="00000000" w:rsidR="00000000" w:rsidRPr="00000000">
              <w:rPr>
                <w:smallCaps w:val="0"/>
                <w:sz w:val="22"/>
                <w:szCs w:val="22"/>
                <w:vertAlign w:val="subscript"/>
                <w:rtl w:val="0"/>
              </w:rPr>
              <w:t xml:space="preserve">olbaltumvielu kg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Atsauces uz pielietoto metodoloģiju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ind w:left="711" w:hanging="711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Liu, Z., Reinhardt, F., and Reents, R. 2000. Estimating parameters of a random regression test day model for first three lactation milk production traits using the covariance function approach. Interbull Bulletin 25: 74 – 80.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ind w:left="711" w:hanging="711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Liu, Z., Reents, R., Reinhardt, F., and Kuwan, K. 2000. Approaches to estimating daily yield from single milking testing schemes and use of a.m. – p.m. records in test-day model genetic evaluation in dairy cattle. J. Dairy Sci. 83: 2672 – 2682.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ind w:left="711" w:hanging="711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Liu, Z., Reinhardt, F., </w:t>
            </w:r>
            <w:bookmarkStart w:colFirst="0" w:colLast="0" w:name="30j0zll" w:id="0"/>
            <w:bookmarkEnd w:id="0"/>
            <w:bookmarkStart w:colFirst="0" w:colLast="0" w:name="gjdgxs" w:id="1"/>
            <w:bookmarkEnd w:id="1"/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Bünger, A., Dopp, L., and Reents, R. 2001. Application of a random regression model to genetic evaluation of test day yields and somatic cell scores in dairy cattle. Interbull Bulletin 27: 159 – 166.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ind w:left="711" w:hanging="711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Liu, Z., Reinhardt, F., and Reents, R. 2001. The effective daughter contribution concept applied to multiple trait models for approximating reliability of estimated breeding values. Interbull Bulletin 27: 41 – 47.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ind w:left="711" w:hanging="711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Reents, R., Dopp, L., Schmutz, M., and Reinhardt, F. 1998. Impact of application of a test day model to dairy production traits on genetic evaluations of cows. Interbull Bulletin 17: 49 – 54.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ind w:left="711" w:hanging="711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Reinhardt, F., Liu, Z., Bünger, A., Dopp, L., and Reents, R. 2002. Impact of application of a random regression test day model to production trait genetic evaluation in dairy cattle. Interbull Bulletin 29: 103 – 107.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sz w:val="22"/>
                <w:szCs w:val="22"/>
                <w:rtl w:val="0"/>
              </w:rPr>
              <w:t xml:space="preserve">Atbildīgā organizācija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Lauksaimniecības datu centrs, Republikas laukums 2, Rīga, LV – 1010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Tālrunis: +371 7027241, Fakss: +371 7027006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e-pasts: </w:t>
            </w:r>
            <w:hyperlink r:id="rId6">
              <w:r w:rsidDel="00000000" w:rsidR="00000000" w:rsidRPr="00000000">
                <w:rPr>
                  <w:smallCaps w:val="0"/>
                  <w:color w:val="0000ff"/>
                  <w:sz w:val="22"/>
                  <w:szCs w:val="22"/>
                  <w:u w:val="single"/>
                  <w:rtl w:val="0"/>
                </w:rPr>
                <w:t xml:space="preserve">Daina.Lodina@ldc.gov.lv</w:t>
              </w:r>
            </w:hyperlink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 , mājas lapa: http://www.ldc.gov.lv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00"/>
        </w:tabs>
        <w:spacing w:after="0" w:before="0" w:line="240" w:lineRule="auto"/>
        <w:ind w:left="0" w:right="0" w:firstLine="0"/>
        <w:jc w:val="left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00"/>
        </w:tabs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Ģenētiskajā novērtēšana izmantotie parametri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(2. tabula)</w:t>
      </w:r>
    </w:p>
    <w:tbl>
      <w:tblPr>
        <w:tblStyle w:val="Table2"/>
        <w:tblW w:w="578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4"/>
        <w:gridCol w:w="1139.9999999999998"/>
        <w:gridCol w:w="2104"/>
        <w:tblGridChange w:id="0">
          <w:tblGrid>
            <w:gridCol w:w="2544"/>
            <w:gridCol w:w="1139.9999999999998"/>
            <w:gridCol w:w="2104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Pazīme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h</w:t>
            </w:r>
            <w:r w:rsidDel="00000000" w:rsidR="00000000" w:rsidRPr="00000000">
              <w:rPr>
                <w:smallCaps w:val="0"/>
                <w:sz w:val="22"/>
                <w:szCs w:val="22"/>
                <w:vertAlign w:val="superscript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Ģenētiskā dispersija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Izslaukums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0.49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314989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ind w:firstLine="36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1. 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0.53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350378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ind w:firstLine="36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2. 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0.35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321393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ind w:firstLine="36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3. 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0.34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352384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Tauku daudzums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0.48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534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ind w:firstLine="36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1. 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0.52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525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ind w:firstLine="36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2. 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0.36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541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ind w:firstLine="36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3. 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0.36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651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Olbaltumvielu daudzums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0.48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280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ind w:firstLine="36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1. 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295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ind w:firstLine="36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2. 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0.38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293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ind w:firstLine="36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3. 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0.38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335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00"/>
        </w:tabs>
        <w:spacing w:after="0" w:before="0" w:line="240" w:lineRule="auto"/>
        <w:ind w:left="0" w:right="0" w:firstLine="0"/>
        <w:jc w:val="left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00"/>
        </w:tabs>
        <w:spacing w:after="0" w:before="0" w:line="240" w:lineRule="auto"/>
        <w:ind w:left="0" w:right="0" w:firstLine="0"/>
        <w:jc w:val="left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00"/>
        </w:tabs>
        <w:spacing w:after="0" w:before="0" w:line="240" w:lineRule="auto"/>
        <w:ind w:left="0" w:right="0" w:firstLine="0"/>
        <w:jc w:val="left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Iedzimstamības koeficienti pa diagonāli, ģenētiskajām korelācijas virs diagonāles un fenotipiskā korelācijas zem diagonāles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(3. tabula)</w:t>
      </w:r>
    </w:p>
    <w:tbl>
      <w:tblPr>
        <w:tblStyle w:val="Table3"/>
        <w:tblW w:w="7998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56"/>
        <w:gridCol w:w="1228.9999999999998"/>
        <w:gridCol w:w="1890"/>
        <w:gridCol w:w="707.9999999999995"/>
        <w:gridCol w:w="707.9999999999995"/>
        <w:gridCol w:w="707.9999999999995"/>
        <w:tblGridChange w:id="0">
          <w:tblGrid>
            <w:gridCol w:w="2756"/>
            <w:gridCol w:w="1228.9999999999998"/>
            <w:gridCol w:w="1890"/>
            <w:gridCol w:w="707.9999999999995"/>
            <w:gridCol w:w="707.9999999999995"/>
            <w:gridCol w:w="707.9999999999995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Pazīme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Laktācija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Ģenētiskās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dispersijas (kg</w:t>
            </w:r>
            <w:r w:rsidDel="00000000" w:rsidR="00000000" w:rsidRPr="00000000">
              <w:rPr>
                <w:smallCaps w:val="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mallCaps w:val="0"/>
                <w:rtl w:val="0"/>
              </w:rPr>
              <w:t xml:space="preserve">)</w:t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Laktācija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Izslaukums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350378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0.84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0.84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321393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0.35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0.97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352834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0.34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Tauku daudzums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525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0.88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0.87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541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0.36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0.97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651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0.36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Olbaltumvielu daudzums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295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0.86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0.84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293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0.62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0.38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0.96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335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0.57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0.64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0.38</w:t>
            </w:r>
          </w:p>
        </w:tc>
      </w:tr>
    </w:tbl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4" w:hanging="284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4" w:hanging="284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4" w:hanging="284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mallCaps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566.9291338582677" w:top="566.9291338582677" w:left="1133.8582677165355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color w:val="999999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ĢENĒTISKĀ NOVĒRTĒŠANA PIENA PRODUKTIVITĀTES PAZĪMĒM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32"/>
      </w:tabs>
      <w:spacing w:after="120" w:before="240" w:lineRule="auto"/>
      <w:ind w:left="431" w:hanging="431"/>
    </w:pPr>
    <w:rPr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76"/>
      </w:tabs>
      <w:spacing w:after="60" w:before="240" w:lineRule="auto"/>
      <w:ind w:left="578" w:hanging="578"/>
    </w:pPr>
    <w:rPr>
      <w:smallCaps w:val="0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20"/>
      </w:tabs>
      <w:spacing w:after="60" w:before="240" w:lineRule="auto"/>
      <w:ind w:left="720" w:hanging="720"/>
    </w:pPr>
    <w:rPr>
      <w:smallCaps w:val="0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864"/>
      </w:tabs>
      <w:spacing w:after="60" w:before="240" w:lineRule="auto"/>
      <w:ind w:left="864" w:hanging="864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</w:tabs>
      <w:spacing w:after="60" w:before="240" w:lineRule="auto"/>
      <w:ind w:left="1008" w:hanging="1008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152"/>
      </w:tabs>
      <w:spacing w:after="60" w:before="240" w:lineRule="auto"/>
      <w:ind w:left="1152" w:hanging="1152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cs="Arial" w:eastAsia="Arial" w:hAnsi="Arial"/>
      <w:b w:val="1"/>
      <w:smallCaps w:val="0"/>
      <w:sz w:val="28"/>
      <w:szCs w:val="28"/>
      <w:u w:val="single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ina.Lodina@ldc.gov.lv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