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D095" w14:textId="2AFB3D7C" w:rsidR="000D6190" w:rsidRDefault="000D6190" w:rsidP="00EB1366">
      <w:pPr>
        <w:suppressAutoHyphens/>
        <w:spacing w:line="276" w:lineRule="auto"/>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anchor distT="0" distB="0" distL="114300" distR="114300" simplePos="0" relativeHeight="251658240" behindDoc="0" locked="0" layoutInCell="1" allowOverlap="1" wp14:anchorId="5A2D73D6" wp14:editId="37BA5B63">
            <wp:simplePos x="2984500" y="635000"/>
            <wp:positionH relativeFrom="column">
              <wp:posOffset>2988945</wp:posOffset>
            </wp:positionH>
            <wp:positionV relativeFrom="paragraph">
              <wp:align>top</wp:align>
            </wp:positionV>
            <wp:extent cx="4722609" cy="688063"/>
            <wp:effectExtent l="0" t="0" r="0" b="0"/>
            <wp:wrapSquare wrapText="bothSides"/>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22609" cy="688063"/>
                    </a:xfrm>
                    <a:prstGeom prst="rect">
                      <a:avLst/>
                    </a:prstGeom>
                  </pic:spPr>
                </pic:pic>
              </a:graphicData>
            </a:graphic>
          </wp:anchor>
        </w:drawing>
      </w:r>
      <w:r w:rsidR="00EB1366">
        <w:rPr>
          <w:rFonts w:ascii="Cambria" w:eastAsia="Times New Roman" w:hAnsi="Cambria" w:cs="Times New Roman"/>
          <w:b/>
          <w:sz w:val="20"/>
          <w:szCs w:val="20"/>
          <w:lang w:val="nb-NO" w:eastAsia="zh-CN"/>
        </w:rPr>
        <w:br w:type="textWrapping" w:clear="all"/>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3B840630"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B40047">
        <w:rPr>
          <w:rFonts w:ascii="Cambria" w:eastAsia="Times New Roman" w:hAnsi="Cambria" w:cs="Times New Roman"/>
          <w:b/>
          <w:sz w:val="20"/>
          <w:szCs w:val="20"/>
          <w:lang w:val="nb-NO" w:eastAsia="zh-CN"/>
        </w:rPr>
        <w:t>3</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B40047" w:rsidRPr="00B40047">
        <w:rPr>
          <w:rFonts w:ascii="Cambria" w:eastAsia="Times New Roman" w:hAnsi="Cambria" w:cs="Times New Roman"/>
          <w:sz w:val="20"/>
          <w:szCs w:val="20"/>
          <w:lang w:eastAsia="zh-CN"/>
        </w:rPr>
        <w:t>Inovatīvu tehnoloģiju īstenošana un kopdarbības veicināšana uzņēmējdarbībā</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shd w:val="clear" w:color="auto" w:fill="auto"/>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shd w:val="clear" w:color="auto" w:fill="auto"/>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shd w:val="clear" w:color="auto" w:fill="auto"/>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shd w:val="clear" w:color="auto" w:fill="auto"/>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shd w:val="clear" w:color="auto" w:fill="auto"/>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shd w:val="clear" w:color="auto" w:fill="auto"/>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shd w:val="clear" w:color="auto" w:fill="auto"/>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shd w:val="clear" w:color="auto" w:fill="auto"/>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shd w:val="clear" w:color="auto" w:fill="auto"/>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shd w:val="clear" w:color="auto" w:fill="auto"/>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shd w:val="clear" w:color="auto" w:fill="auto"/>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shd w:val="clear" w:color="auto" w:fill="auto"/>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shd w:val="clear" w:color="auto" w:fill="auto"/>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shd w:val="clear" w:color="auto" w:fill="auto"/>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shd w:val="clear" w:color="auto" w:fill="auto"/>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shd w:val="clear" w:color="auto" w:fill="auto"/>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shd w:val="clear" w:color="auto" w:fill="auto"/>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proofErr w:type="spellStart"/>
            <w:r w:rsidRPr="0028494E">
              <w:rPr>
                <w:rFonts w:ascii="Cambria" w:hAnsi="Cambria" w:cs="Calibri Light"/>
                <w:sz w:val="18"/>
                <w:szCs w:val="18"/>
                <w:lang w:val="lv-LV"/>
              </w:rPr>
              <w:t>novācija</w:t>
            </w:r>
            <w:proofErr w:type="spellEnd"/>
            <w:r w:rsidRPr="0028494E">
              <w:rPr>
                <w:rFonts w:ascii="Cambria" w:hAnsi="Cambria" w:cs="Calibri Light"/>
                <w:sz w:val="18"/>
                <w:szCs w:val="18"/>
                <w:lang w:val="lv-LV"/>
              </w:rPr>
              <w:t xml:space="preserve"> VRG darbības teritorijas vai valsts mērogā un/vai ņemti vērā  </w:t>
            </w:r>
            <w:proofErr w:type="spellStart"/>
            <w:r w:rsidRPr="0028494E">
              <w:rPr>
                <w:rFonts w:ascii="Cambria" w:hAnsi="Cambria" w:cs="Calibri Light"/>
                <w:sz w:val="18"/>
                <w:szCs w:val="18"/>
                <w:lang w:val="lv-LV"/>
              </w:rPr>
              <w:t>bioekonomikas</w:t>
            </w:r>
            <w:proofErr w:type="spellEnd"/>
            <w:r w:rsidRPr="0028494E">
              <w:rPr>
                <w:rFonts w:ascii="Cambria" w:hAnsi="Cambria" w:cs="Calibri Light"/>
                <w:sz w:val="18"/>
                <w:szCs w:val="18"/>
                <w:lang w:val="lv-LV"/>
              </w:rPr>
              <w:t xml:space="preserve"> aspekti, </w:t>
            </w:r>
            <w:proofErr w:type="spellStart"/>
            <w:r w:rsidRPr="0028494E">
              <w:rPr>
                <w:rFonts w:ascii="Cambria" w:hAnsi="Cambria" w:cs="Calibri Light"/>
                <w:sz w:val="18"/>
                <w:szCs w:val="18"/>
                <w:lang w:val="lv-LV"/>
              </w:rPr>
              <w:t>klimatneitralitāte</w:t>
            </w:r>
            <w:proofErr w:type="spellEnd"/>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shd w:val="clear" w:color="auto" w:fill="auto"/>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shd w:val="clear" w:color="auto" w:fill="auto"/>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63CEFD" w14:textId="6DAA0525" w:rsidTr="00A615FE">
        <w:trPr>
          <w:trHeight w:val="242"/>
        </w:trPr>
        <w:tc>
          <w:tcPr>
            <w:tcW w:w="988" w:type="dxa"/>
            <w:shd w:val="clear" w:color="auto" w:fill="FFFFFF" w:themeFill="background1"/>
            <w:noWrap/>
          </w:tcPr>
          <w:p w14:paraId="5BAC87C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ir atbilstošas laika grafikam</w:t>
            </w:r>
          </w:p>
        </w:tc>
        <w:tc>
          <w:tcPr>
            <w:tcW w:w="567" w:type="dxa"/>
            <w:shd w:val="clear" w:color="auto" w:fill="FFFFFF" w:themeFill="background1"/>
          </w:tcPr>
          <w:p w14:paraId="128978A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tcPr>
          <w:p w14:paraId="756CB4DF" w14:textId="77777777" w:rsidR="00A615FE" w:rsidRPr="0028494E" w:rsidRDefault="00A615FE" w:rsidP="009D5282">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E94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43B43A" w14:textId="0BFAFFF8" w:rsidTr="00A615FE">
        <w:trPr>
          <w:trHeight w:val="242"/>
        </w:trPr>
        <w:tc>
          <w:tcPr>
            <w:tcW w:w="988" w:type="dxa"/>
            <w:shd w:val="clear" w:color="auto" w:fill="FFFFFF" w:themeFill="background1"/>
            <w:noWrap/>
          </w:tcPr>
          <w:p w14:paraId="1E08A30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Plānotā projekta īstenošanā ir laika grafika neatbilstības</w:t>
            </w:r>
          </w:p>
        </w:tc>
        <w:tc>
          <w:tcPr>
            <w:tcW w:w="567" w:type="dxa"/>
            <w:shd w:val="clear" w:color="auto" w:fill="FFFFFF" w:themeFill="background1"/>
          </w:tcPr>
          <w:p w14:paraId="24734F1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1E6633"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AFDB3B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73A824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6D6F99" w14:textId="5AA54FBC" w:rsidTr="00A615FE">
        <w:trPr>
          <w:trHeight w:val="242"/>
        </w:trPr>
        <w:tc>
          <w:tcPr>
            <w:tcW w:w="988" w:type="dxa"/>
            <w:shd w:val="clear" w:color="auto" w:fill="FFFFFF" w:themeFill="background1"/>
            <w:noWrap/>
          </w:tcPr>
          <w:p w14:paraId="1665FF0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shd w:val="clear" w:color="auto" w:fill="auto"/>
          </w:tcPr>
          <w:p w14:paraId="61F53682"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nav atbilstošas laika grafikam un nav loģiska secība aktivitāšu realizēšanā</w:t>
            </w:r>
          </w:p>
        </w:tc>
        <w:tc>
          <w:tcPr>
            <w:tcW w:w="567" w:type="dxa"/>
            <w:shd w:val="clear" w:color="auto" w:fill="FFFFFF" w:themeFill="background1"/>
          </w:tcPr>
          <w:p w14:paraId="173915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760FA42"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822051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2F0CCFF"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shd w:val="clear" w:color="auto" w:fill="auto"/>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shd w:val="clear" w:color="auto" w:fill="auto"/>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shd w:val="clear" w:color="auto" w:fill="auto"/>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shd w:val="clear" w:color="auto" w:fill="auto"/>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BC05CF" w14:textId="5F1C54BA" w:rsidTr="00A615FE">
        <w:trPr>
          <w:trHeight w:val="86"/>
        </w:trPr>
        <w:tc>
          <w:tcPr>
            <w:tcW w:w="988" w:type="dxa"/>
            <w:shd w:val="clear" w:color="auto" w:fill="FFFFFF" w:themeFill="background1"/>
            <w:noWrap/>
          </w:tcPr>
          <w:p w14:paraId="61962FC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 xml:space="preserve">Projektam pievienots ideju paskaidrojošs vizuālais risinājums - pašu </w:t>
            </w:r>
            <w:r w:rsidRPr="0028494E">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28494E">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shd w:val="clear" w:color="auto" w:fill="auto"/>
            <w:noWrap/>
          </w:tcPr>
          <w:p w14:paraId="32F11B9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484020D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CEB3F8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A20CEB1" w14:textId="47F03332" w:rsidTr="00A615FE">
        <w:trPr>
          <w:trHeight w:val="242"/>
        </w:trPr>
        <w:tc>
          <w:tcPr>
            <w:tcW w:w="988" w:type="dxa"/>
            <w:shd w:val="clear" w:color="auto" w:fill="FFFFFF" w:themeFill="background1"/>
            <w:noWrap/>
          </w:tcPr>
          <w:p w14:paraId="5637B8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14.2.</w:t>
            </w:r>
          </w:p>
        </w:tc>
        <w:tc>
          <w:tcPr>
            <w:tcW w:w="6520" w:type="dxa"/>
            <w:gridSpan w:val="4"/>
            <w:shd w:val="clear" w:color="auto" w:fill="FFFFFF" w:themeFill="background1"/>
          </w:tcPr>
          <w:p w14:paraId="32AE12B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4EDE1D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A3FDA00" w14:textId="75CA3C97" w:rsidTr="00A615FE">
        <w:trPr>
          <w:trHeight w:val="242"/>
        </w:trPr>
        <w:tc>
          <w:tcPr>
            <w:tcW w:w="988" w:type="dxa"/>
            <w:shd w:val="clear" w:color="auto" w:fill="FFFFFF" w:themeFill="background1"/>
            <w:noWrap/>
          </w:tcPr>
          <w:p w14:paraId="7DC87B4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15.1.</w:t>
            </w:r>
          </w:p>
        </w:tc>
        <w:tc>
          <w:tcPr>
            <w:tcW w:w="6520" w:type="dxa"/>
            <w:gridSpan w:val="4"/>
            <w:shd w:val="clear" w:color="auto" w:fill="auto"/>
          </w:tcPr>
          <w:p w14:paraId="0F2E46A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567" w:type="dxa"/>
            <w:shd w:val="clear" w:color="auto" w:fill="FFFFFF" w:themeFill="background1"/>
          </w:tcPr>
          <w:p w14:paraId="7D5887A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4858BA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shd w:val="clear" w:color="auto" w:fill="auto"/>
            <w:noWrap/>
          </w:tcPr>
          <w:p w14:paraId="0EE961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w:t>
            </w:r>
            <w:r w:rsidRPr="0028494E">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2650B9F5"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BBB0469" w14:textId="4C6687F1" w:rsidTr="00A615FE">
        <w:trPr>
          <w:trHeight w:val="242"/>
        </w:trPr>
        <w:tc>
          <w:tcPr>
            <w:tcW w:w="988" w:type="dxa"/>
            <w:shd w:val="clear" w:color="auto" w:fill="FFFFFF" w:themeFill="background1"/>
            <w:noWrap/>
          </w:tcPr>
          <w:p w14:paraId="6E9AEF8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15.2.</w:t>
            </w:r>
          </w:p>
        </w:tc>
        <w:tc>
          <w:tcPr>
            <w:tcW w:w="6520" w:type="dxa"/>
            <w:gridSpan w:val="4"/>
            <w:shd w:val="clear" w:color="auto" w:fill="auto"/>
          </w:tcPr>
          <w:p w14:paraId="48E379A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567" w:type="dxa"/>
            <w:shd w:val="clear" w:color="auto" w:fill="FFFFFF" w:themeFill="background1"/>
          </w:tcPr>
          <w:p w14:paraId="59BF390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17FB022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38E78B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9C1A0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479FDA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shd w:val="clear" w:color="auto" w:fill="auto"/>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17.1.</w:t>
            </w:r>
          </w:p>
        </w:tc>
        <w:tc>
          <w:tcPr>
            <w:tcW w:w="6520" w:type="dxa"/>
            <w:gridSpan w:val="4"/>
            <w:shd w:val="clear" w:color="auto" w:fill="auto"/>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shd w:val="clear" w:color="auto" w:fill="auto"/>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projekta gatavības pakāpe uz </w:t>
            </w:r>
            <w:r w:rsidRPr="0028494E">
              <w:rPr>
                <w:rFonts w:ascii="Cambria" w:hAnsi="Cambria" w:cs="Calibri Light"/>
                <w:sz w:val="18"/>
                <w:szCs w:val="18"/>
                <w:lang w:val="nb-NO" w:eastAsia="zh-CN"/>
              </w:rPr>
              <w:lastRenderedPageBreak/>
              <w:t>projekta iesniegšanas brīdi</w:t>
            </w:r>
          </w:p>
          <w:p w14:paraId="1EBB5F9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Projekta iesniegumam jāpievieno dokumenti, kas noteikti MKN Nr. 580. 48. p. </w:t>
            </w:r>
          </w:p>
          <w:p w14:paraId="154FB1FA"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17.2.</w:t>
            </w:r>
          </w:p>
        </w:tc>
        <w:tc>
          <w:tcPr>
            <w:tcW w:w="6520" w:type="dxa"/>
            <w:gridSpan w:val="4"/>
            <w:shd w:val="clear" w:color="auto" w:fill="auto"/>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shd w:val="clear" w:color="auto" w:fill="auto"/>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shd w:val="clear" w:color="auto" w:fill="auto"/>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709AA4D6" w14:textId="194ABC5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28494E">
              <w:rPr>
                <w:rFonts w:ascii="Cambria" w:hAnsi="Cambria" w:cs="Calibri Light"/>
                <w:b/>
                <w:bCs/>
                <w:color w:val="000000"/>
                <w:sz w:val="18"/>
                <w:szCs w:val="18"/>
                <w:lang w:val="nb-NO" w:eastAsia="zh-CN"/>
              </w:rPr>
              <w:t>inovācijas</w:t>
            </w:r>
            <w:r w:rsidRPr="0028494E">
              <w:rPr>
                <w:rFonts w:ascii="Cambria" w:hAnsi="Cambria" w:cs="Calibri Light"/>
                <w:color w:val="000000"/>
                <w:sz w:val="18"/>
                <w:szCs w:val="18"/>
                <w:lang w:val="nb-NO" w:eastAsia="zh-CN"/>
              </w:rPr>
              <w:t xml:space="preserve"> vai </w:t>
            </w:r>
            <w:r w:rsidRPr="0028494E">
              <w:rPr>
                <w:rFonts w:ascii="Cambria" w:hAnsi="Cambria" w:cs="Calibri Light"/>
                <w:b/>
                <w:bCs/>
                <w:color w:val="000000"/>
                <w:sz w:val="18"/>
                <w:szCs w:val="18"/>
                <w:lang w:val="nb-NO" w:eastAsia="zh-CN"/>
              </w:rPr>
              <w:t xml:space="preserve">bioekonomikas inovācijas </w:t>
            </w:r>
            <w:r w:rsidRPr="0028494E">
              <w:rPr>
                <w:rFonts w:ascii="Cambria" w:hAnsi="Cambria" w:cs="Calibri Light"/>
                <w:color w:val="000000"/>
                <w:sz w:val="18"/>
                <w:szCs w:val="18"/>
                <w:lang w:val="nb-NO" w:eastAsia="zh-CN"/>
              </w:rPr>
              <w:t>virziens ar izvērstu pamatojumu. Projektā skaidri norādītas izmaksas, kas paredzētas inovācijas ieviešanai</w:t>
            </w:r>
            <w:r w:rsidR="00CB4226">
              <w:rPr>
                <w:rFonts w:ascii="Cambria" w:hAnsi="Cambria" w:cs="Calibri Light"/>
                <w:color w:val="000000"/>
                <w:sz w:val="18"/>
                <w:szCs w:val="18"/>
                <w:lang w:val="nb-NO" w:eastAsia="zh-CN"/>
              </w:rPr>
              <w:t xml:space="preserve"> </w:t>
            </w:r>
            <w:r w:rsidR="00CB4226" w:rsidRPr="00270225">
              <w:rPr>
                <w:rFonts w:ascii="Cambria" w:hAnsi="Cambria" w:cs="Calibri Light"/>
                <w:color w:val="000000"/>
                <w:sz w:val="18"/>
                <w:szCs w:val="18"/>
                <w:lang w:val="nb-NO" w:eastAsia="zh-CN"/>
              </w:rPr>
              <w:t xml:space="preserve">un </w:t>
            </w:r>
            <w:r w:rsidR="00CB4226" w:rsidRPr="00270225">
              <w:rPr>
                <w:rFonts w:ascii="Cambria" w:hAnsi="Cambria"/>
                <w:bCs/>
                <w:sz w:val="18"/>
                <w:szCs w:val="18"/>
              </w:rPr>
              <w:t>ieguldījuma proporcija inovatīvā tehnoloģijā vai risinājumā ir vismaz 30% no kopējām projekta attiecināmām izmaksām</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1C14AD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Kritērijā punkti nesummējas</w:t>
            </w:r>
          </w:p>
          <w:p w14:paraId="603FF2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103632F2"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Inovācija nevar tikt ieviesta bez projekta iegādēm un aktivitātēm</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5353E3A5" w14:textId="6589FCF5" w:rsidTr="00A615FE">
        <w:trPr>
          <w:trHeight w:val="276"/>
        </w:trPr>
        <w:tc>
          <w:tcPr>
            <w:tcW w:w="988" w:type="dxa"/>
            <w:shd w:val="clear" w:color="auto" w:fill="FFFFFF" w:themeFill="background1"/>
            <w:noWrap/>
          </w:tcPr>
          <w:p w14:paraId="4DCFD670"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57F95556"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CB4226" w:rsidRPr="00270225">
              <w:rPr>
                <w:rFonts w:ascii="Cambria" w:hAnsi="Cambria" w:cs="Calibri Light"/>
                <w:color w:val="000000"/>
                <w:sz w:val="18"/>
                <w:szCs w:val="18"/>
                <w:lang w:val="nb-NO" w:eastAsia="zh-CN"/>
              </w:rPr>
              <w:t xml:space="preserve"> un </w:t>
            </w:r>
            <w:r w:rsidR="00CB4226" w:rsidRPr="00270225">
              <w:rPr>
                <w:rFonts w:ascii="Cambria" w:hAnsi="Cambria"/>
                <w:bCs/>
                <w:sz w:val="18"/>
                <w:szCs w:val="18"/>
              </w:rPr>
              <w:t xml:space="preserve">ieguldījuma proporcija inovatīvā tehnoloģijā vai risinājumā ir </w:t>
            </w:r>
            <w:r w:rsidR="00CB4226">
              <w:rPr>
                <w:rFonts w:ascii="Cambria" w:hAnsi="Cambria"/>
                <w:bCs/>
                <w:sz w:val="18"/>
                <w:szCs w:val="18"/>
              </w:rPr>
              <w:t xml:space="preserve">mazāka par </w:t>
            </w:r>
            <w:r w:rsidR="00CB4226" w:rsidRPr="00270225">
              <w:rPr>
                <w:rFonts w:ascii="Cambria" w:hAnsi="Cambria"/>
                <w:bCs/>
                <w:sz w:val="18"/>
                <w:szCs w:val="18"/>
              </w:rPr>
              <w:t>30% no kopējām projekta attiecināmām izmaksām</w:t>
            </w:r>
          </w:p>
        </w:tc>
        <w:tc>
          <w:tcPr>
            <w:tcW w:w="567" w:type="dxa"/>
            <w:shd w:val="clear" w:color="auto" w:fill="FFFFFF" w:themeFill="background1"/>
          </w:tcPr>
          <w:p w14:paraId="0D96D2CC"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08B7524D" w14:textId="777AD366" w:rsidTr="00425E51">
        <w:trPr>
          <w:trHeight w:val="276"/>
        </w:trPr>
        <w:tc>
          <w:tcPr>
            <w:tcW w:w="988" w:type="dxa"/>
            <w:shd w:val="clear" w:color="auto" w:fill="95B3D8"/>
            <w:noWrap/>
          </w:tcPr>
          <w:p w14:paraId="54510D41"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w:t>
            </w:r>
          </w:p>
        </w:tc>
        <w:tc>
          <w:tcPr>
            <w:tcW w:w="10631" w:type="dxa"/>
            <w:gridSpan w:val="7"/>
            <w:shd w:val="clear" w:color="auto" w:fill="95B3D8"/>
          </w:tcPr>
          <w:p w14:paraId="4476480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719CEB88" w14:textId="124A1BA4" w:rsidTr="00A615FE">
        <w:trPr>
          <w:trHeight w:val="276"/>
        </w:trPr>
        <w:tc>
          <w:tcPr>
            <w:tcW w:w="988" w:type="dxa"/>
            <w:shd w:val="clear" w:color="auto" w:fill="FFFFFF" w:themeFill="background1"/>
            <w:noWrap/>
          </w:tcPr>
          <w:p w14:paraId="7BDD083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19.1.</w:t>
            </w:r>
          </w:p>
        </w:tc>
        <w:tc>
          <w:tcPr>
            <w:tcW w:w="6520" w:type="dxa"/>
            <w:gridSpan w:val="4"/>
            <w:shd w:val="clear" w:color="auto" w:fill="FFFFFF" w:themeFill="background1"/>
          </w:tcPr>
          <w:p w14:paraId="69905727"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24C1C484" w14:textId="360E5699" w:rsidTr="00A615FE">
        <w:trPr>
          <w:trHeight w:val="276"/>
        </w:trPr>
        <w:tc>
          <w:tcPr>
            <w:tcW w:w="988" w:type="dxa"/>
            <w:shd w:val="clear" w:color="auto" w:fill="FFFFFF" w:themeFill="background1"/>
            <w:noWrap/>
          </w:tcPr>
          <w:p w14:paraId="2C04B40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19.2.</w:t>
            </w:r>
          </w:p>
        </w:tc>
        <w:tc>
          <w:tcPr>
            <w:tcW w:w="6520" w:type="dxa"/>
            <w:gridSpan w:val="4"/>
            <w:shd w:val="clear" w:color="auto" w:fill="FFFFFF" w:themeFill="background1"/>
          </w:tcPr>
          <w:p w14:paraId="4B7B0825"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47E0656C" w14:textId="746C142D" w:rsidTr="00425E51">
        <w:trPr>
          <w:trHeight w:val="276"/>
        </w:trPr>
        <w:tc>
          <w:tcPr>
            <w:tcW w:w="988" w:type="dxa"/>
            <w:shd w:val="clear" w:color="auto" w:fill="95B3D8"/>
            <w:noWrap/>
          </w:tcPr>
          <w:p w14:paraId="389CC070"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w:t>
            </w:r>
          </w:p>
        </w:tc>
        <w:tc>
          <w:tcPr>
            <w:tcW w:w="10631" w:type="dxa"/>
            <w:gridSpan w:val="7"/>
            <w:shd w:val="clear" w:color="auto" w:fill="95B3D8"/>
          </w:tcPr>
          <w:p w14:paraId="708F6346"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2637ACCA" w14:textId="7BFFB0F9" w:rsidTr="00A615FE">
        <w:trPr>
          <w:trHeight w:val="276"/>
        </w:trPr>
        <w:tc>
          <w:tcPr>
            <w:tcW w:w="988" w:type="dxa"/>
            <w:shd w:val="clear" w:color="auto" w:fill="FFFFFF" w:themeFill="background1"/>
            <w:noWrap/>
          </w:tcPr>
          <w:p w14:paraId="069FB6C8"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20.1.</w:t>
            </w:r>
          </w:p>
        </w:tc>
        <w:tc>
          <w:tcPr>
            <w:tcW w:w="6520" w:type="dxa"/>
            <w:gridSpan w:val="4"/>
            <w:shd w:val="clear" w:color="auto" w:fill="FFFFFF" w:themeFill="background1"/>
          </w:tcPr>
          <w:p w14:paraId="3833C244"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A615FE" w:rsidRPr="0028494E" w14:paraId="4BF4B74B" w14:textId="64C4E7BA" w:rsidTr="00A615FE">
        <w:trPr>
          <w:trHeight w:val="276"/>
        </w:trPr>
        <w:tc>
          <w:tcPr>
            <w:tcW w:w="988" w:type="dxa"/>
            <w:shd w:val="clear" w:color="auto" w:fill="FFFFFF" w:themeFill="background1"/>
            <w:noWrap/>
          </w:tcPr>
          <w:p w14:paraId="40EC7D2D"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20.2.</w:t>
            </w:r>
          </w:p>
        </w:tc>
        <w:tc>
          <w:tcPr>
            <w:tcW w:w="6520" w:type="dxa"/>
            <w:gridSpan w:val="4"/>
            <w:shd w:val="clear" w:color="auto" w:fill="FFFFFF" w:themeFill="background1"/>
          </w:tcPr>
          <w:p w14:paraId="4B8AFF3D"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1A1D8658" w14:textId="5C56ACBC" w:rsidTr="00425E51">
        <w:trPr>
          <w:trHeight w:val="276"/>
        </w:trPr>
        <w:tc>
          <w:tcPr>
            <w:tcW w:w="988" w:type="dxa"/>
            <w:shd w:val="clear" w:color="auto" w:fill="95B3D8"/>
            <w:noWrap/>
          </w:tcPr>
          <w:p w14:paraId="062882E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w:t>
            </w:r>
          </w:p>
        </w:tc>
        <w:tc>
          <w:tcPr>
            <w:tcW w:w="10631" w:type="dxa"/>
            <w:gridSpan w:val="7"/>
            <w:shd w:val="clear" w:color="auto" w:fill="95B3D8"/>
          </w:tcPr>
          <w:p w14:paraId="5B31A1E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4D194EA" w14:textId="63A96A92" w:rsidTr="00A615FE">
        <w:trPr>
          <w:trHeight w:val="276"/>
        </w:trPr>
        <w:tc>
          <w:tcPr>
            <w:tcW w:w="988" w:type="dxa"/>
            <w:shd w:val="clear" w:color="auto" w:fill="FFFFFF" w:themeFill="background1"/>
            <w:noWrap/>
          </w:tcPr>
          <w:p w14:paraId="79B7ACD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21.1.</w:t>
            </w:r>
          </w:p>
        </w:tc>
        <w:tc>
          <w:tcPr>
            <w:tcW w:w="6520" w:type="dxa"/>
            <w:gridSpan w:val="4"/>
            <w:shd w:val="clear" w:color="auto" w:fill="FFFFFF" w:themeFill="background1"/>
          </w:tcPr>
          <w:p w14:paraId="166FA4C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Sniegts detalizēts pamatojums projekta ietekmei uz apkārtējo vidi un virzībai uz </w:t>
            </w:r>
            <w:r w:rsidRPr="0028494E">
              <w:rPr>
                <w:rFonts w:ascii="Cambria" w:hAnsi="Cambria" w:cs="Calibri Light"/>
                <w:b/>
                <w:sz w:val="18"/>
                <w:szCs w:val="18"/>
                <w:lang w:val="nb-NO" w:eastAsia="zh-CN"/>
              </w:rPr>
              <w:t>klimatneitralitāti.</w:t>
            </w:r>
            <w:r w:rsidRPr="0028494E">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shd w:val="clear" w:color="auto" w:fill="auto"/>
          </w:tcPr>
          <w:p w14:paraId="6BEAD3D1"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t>klimatneitralitāti</w:t>
            </w:r>
            <w:r w:rsidRPr="0028494E">
              <w:rPr>
                <w:rFonts w:ascii="Cambria" w:hAnsi="Cambria" w:cs="Calibri Light"/>
                <w:sz w:val="18"/>
                <w:szCs w:val="18"/>
                <w:lang w:val="nb-NO" w:eastAsia="zh-CN"/>
              </w:rPr>
              <w:t xml:space="preserve"> (vējš, saule, biomasa, bioloģisko produktu ražošana, </w:t>
            </w:r>
            <w:r w:rsidRPr="0028494E">
              <w:rPr>
                <w:rFonts w:ascii="Cambria" w:hAnsi="Cambria" w:cs="Calibri Light"/>
                <w:sz w:val="18"/>
                <w:szCs w:val="18"/>
                <w:lang w:val="nb-NO" w:eastAsia="zh-CN"/>
              </w:rPr>
              <w:lastRenderedPageBreak/>
              <w:t>aprites ekonomika, cita joma)</w:t>
            </w:r>
          </w:p>
        </w:tc>
        <w:tc>
          <w:tcPr>
            <w:tcW w:w="567" w:type="dxa"/>
            <w:vMerge w:val="restart"/>
          </w:tcPr>
          <w:p w14:paraId="4172864F"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tcPr>
          <w:p w14:paraId="756A5274"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77E862E1" w14:textId="0AEA302B" w:rsidTr="00A615FE">
        <w:trPr>
          <w:trHeight w:val="276"/>
        </w:trPr>
        <w:tc>
          <w:tcPr>
            <w:tcW w:w="988" w:type="dxa"/>
            <w:shd w:val="clear" w:color="auto" w:fill="auto"/>
            <w:noWrap/>
          </w:tcPr>
          <w:p w14:paraId="474A839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21.2.</w:t>
            </w:r>
          </w:p>
        </w:tc>
        <w:tc>
          <w:tcPr>
            <w:tcW w:w="6520" w:type="dxa"/>
            <w:gridSpan w:val="4"/>
            <w:shd w:val="clear" w:color="auto" w:fill="auto"/>
          </w:tcPr>
          <w:p w14:paraId="10A7F7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attiecīga apraksta un/vai nav paredzēta augstākminēto iekārtu un tehnoloģiju uzstādīšana</w:t>
            </w:r>
          </w:p>
        </w:tc>
        <w:tc>
          <w:tcPr>
            <w:tcW w:w="567" w:type="dxa"/>
            <w:shd w:val="clear" w:color="auto" w:fill="auto"/>
          </w:tcPr>
          <w:p w14:paraId="16C05F5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tcPr>
          <w:p w14:paraId="6D1668D7"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0FC0F0F3"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06776CCB"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5546970B"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6E98E18C" w14:textId="101D6E65" w:rsidTr="00425E51">
        <w:trPr>
          <w:trHeight w:val="276"/>
        </w:trPr>
        <w:tc>
          <w:tcPr>
            <w:tcW w:w="988" w:type="dxa"/>
            <w:shd w:val="clear" w:color="auto" w:fill="95B3D8"/>
            <w:noWrap/>
          </w:tcPr>
          <w:p w14:paraId="2926525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w:t>
            </w:r>
          </w:p>
        </w:tc>
        <w:tc>
          <w:tcPr>
            <w:tcW w:w="10631" w:type="dxa"/>
            <w:gridSpan w:val="7"/>
            <w:shd w:val="clear" w:color="auto" w:fill="95B3D8"/>
          </w:tcPr>
          <w:p w14:paraId="3E30BB9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3A6D7E" w:rsidRPr="0028494E" w:rsidRDefault="003A6D7E" w:rsidP="009D5282">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3A6D7E" w:rsidRPr="0028494E" w:rsidRDefault="003A6D7E" w:rsidP="009D5282">
            <w:pPr>
              <w:suppressAutoHyphens/>
              <w:rPr>
                <w:rFonts w:ascii="Cambria" w:hAnsi="Cambria" w:cs="Calibri Light"/>
                <w:b/>
                <w:bCs/>
                <w:sz w:val="18"/>
                <w:szCs w:val="18"/>
              </w:rPr>
            </w:pPr>
          </w:p>
        </w:tc>
      </w:tr>
      <w:tr w:rsidR="00A615FE" w:rsidRPr="0028494E" w14:paraId="53CE498D" w14:textId="0A64D25D" w:rsidTr="00A615FE">
        <w:trPr>
          <w:trHeight w:val="276"/>
        </w:trPr>
        <w:tc>
          <w:tcPr>
            <w:tcW w:w="988" w:type="dxa"/>
            <w:shd w:val="clear" w:color="auto" w:fill="auto"/>
            <w:noWrap/>
          </w:tcPr>
          <w:p w14:paraId="7A11AE5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22.1.</w:t>
            </w:r>
          </w:p>
        </w:tc>
        <w:tc>
          <w:tcPr>
            <w:tcW w:w="6520" w:type="dxa"/>
            <w:gridSpan w:val="4"/>
            <w:shd w:val="clear" w:color="auto" w:fill="auto"/>
          </w:tcPr>
          <w:p w14:paraId="13596060"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shd w:val="clear" w:color="auto" w:fill="auto"/>
          </w:tcPr>
          <w:p w14:paraId="66D2FB9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tcPr>
          <w:p w14:paraId="470AE3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shd w:val="clear" w:color="auto" w:fill="auto"/>
          </w:tcPr>
          <w:p w14:paraId="07BF5FE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tc>
        <w:tc>
          <w:tcPr>
            <w:tcW w:w="567" w:type="dxa"/>
            <w:vMerge w:val="restart"/>
          </w:tcPr>
          <w:p w14:paraId="6625B5D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8E6F6B3"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6DDF7E6" w14:textId="2F9324B8" w:rsidTr="00A615FE">
        <w:trPr>
          <w:trHeight w:val="276"/>
        </w:trPr>
        <w:tc>
          <w:tcPr>
            <w:tcW w:w="988" w:type="dxa"/>
            <w:shd w:val="clear" w:color="auto" w:fill="auto"/>
            <w:noWrap/>
          </w:tcPr>
          <w:p w14:paraId="2BE8880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22.2.</w:t>
            </w:r>
          </w:p>
        </w:tc>
        <w:tc>
          <w:tcPr>
            <w:tcW w:w="6520" w:type="dxa"/>
            <w:gridSpan w:val="4"/>
            <w:shd w:val="clear" w:color="auto" w:fill="FFFFFF" w:themeFill="background1"/>
          </w:tcPr>
          <w:p w14:paraId="12B669C7"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D4478E0"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1B390AE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3AF46BB4"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2B6D3E54" w14:textId="4DD4AF75" w:rsidTr="00425E51">
        <w:trPr>
          <w:trHeight w:val="276"/>
        </w:trPr>
        <w:tc>
          <w:tcPr>
            <w:tcW w:w="988" w:type="dxa"/>
            <w:shd w:val="clear" w:color="auto" w:fill="95B3D8"/>
            <w:noWrap/>
          </w:tcPr>
          <w:p w14:paraId="1C7C25A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w:t>
            </w:r>
          </w:p>
        </w:tc>
        <w:tc>
          <w:tcPr>
            <w:tcW w:w="10631" w:type="dxa"/>
            <w:gridSpan w:val="7"/>
            <w:shd w:val="clear" w:color="auto" w:fill="95B3D8"/>
          </w:tcPr>
          <w:p w14:paraId="61BD04C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437B8635" w14:textId="2A41BE3F" w:rsidTr="00A615FE">
        <w:trPr>
          <w:trHeight w:val="276"/>
        </w:trPr>
        <w:tc>
          <w:tcPr>
            <w:tcW w:w="988" w:type="dxa"/>
            <w:shd w:val="clear" w:color="auto" w:fill="auto"/>
            <w:noWrap/>
          </w:tcPr>
          <w:p w14:paraId="18FCF5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23.1.</w:t>
            </w:r>
          </w:p>
        </w:tc>
        <w:tc>
          <w:tcPr>
            <w:tcW w:w="6520" w:type="dxa"/>
            <w:gridSpan w:val="4"/>
            <w:shd w:val="clear" w:color="auto" w:fill="FFFFFF" w:themeFill="background1"/>
          </w:tcPr>
          <w:p w14:paraId="3B72938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vairāk par 1 gadu</w:t>
            </w:r>
          </w:p>
        </w:tc>
        <w:tc>
          <w:tcPr>
            <w:tcW w:w="567" w:type="dxa"/>
            <w:shd w:val="clear" w:color="auto" w:fill="FFFFFF" w:themeFill="background1"/>
          </w:tcPr>
          <w:p w14:paraId="3591ADF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shd w:val="clear" w:color="auto" w:fill="auto"/>
          </w:tcPr>
          <w:p w14:paraId="2712FFC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372C3740"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59C83DC" w14:textId="36506D37" w:rsidTr="00A615FE">
        <w:trPr>
          <w:trHeight w:val="276"/>
        </w:trPr>
        <w:tc>
          <w:tcPr>
            <w:tcW w:w="988" w:type="dxa"/>
            <w:shd w:val="clear" w:color="auto" w:fill="auto"/>
            <w:noWrap/>
          </w:tcPr>
          <w:p w14:paraId="74D86A5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23.2.</w:t>
            </w:r>
          </w:p>
        </w:tc>
        <w:tc>
          <w:tcPr>
            <w:tcW w:w="6520" w:type="dxa"/>
            <w:gridSpan w:val="4"/>
            <w:shd w:val="clear" w:color="auto" w:fill="FFFFFF" w:themeFill="background1"/>
          </w:tcPr>
          <w:p w14:paraId="2D7418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un darbojas tajā līdz 1 gadam</w:t>
            </w:r>
          </w:p>
        </w:tc>
        <w:tc>
          <w:tcPr>
            <w:tcW w:w="567" w:type="dxa"/>
            <w:shd w:val="clear" w:color="auto" w:fill="FFFFFF" w:themeFill="background1"/>
          </w:tcPr>
          <w:p w14:paraId="59EADC5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6148817D"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714B5F53"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467A9E16"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C3A94CB" w14:textId="690F9A4A" w:rsidTr="00A615FE">
        <w:trPr>
          <w:trHeight w:val="276"/>
        </w:trPr>
        <w:tc>
          <w:tcPr>
            <w:tcW w:w="988" w:type="dxa"/>
            <w:shd w:val="clear" w:color="auto" w:fill="auto"/>
            <w:noWrap/>
          </w:tcPr>
          <w:p w14:paraId="507B548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23.3.</w:t>
            </w:r>
          </w:p>
        </w:tc>
        <w:tc>
          <w:tcPr>
            <w:tcW w:w="6520" w:type="dxa"/>
            <w:gridSpan w:val="4"/>
            <w:shd w:val="clear" w:color="auto" w:fill="FFFFFF" w:themeFill="background1"/>
          </w:tcPr>
          <w:p w14:paraId="2666B5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ārpus VRG teritorijas</w:t>
            </w:r>
          </w:p>
        </w:tc>
        <w:tc>
          <w:tcPr>
            <w:tcW w:w="567" w:type="dxa"/>
            <w:shd w:val="clear" w:color="auto" w:fill="FFFFFF" w:themeFill="background1"/>
          </w:tcPr>
          <w:p w14:paraId="4D4B168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0782545"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319F7A6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169F0318"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7B5B9129" w14:textId="6D466D02" w:rsidTr="00425E51">
        <w:trPr>
          <w:trHeight w:val="276"/>
        </w:trPr>
        <w:tc>
          <w:tcPr>
            <w:tcW w:w="11619" w:type="dxa"/>
            <w:gridSpan w:val="8"/>
            <w:shd w:val="clear" w:color="auto" w:fill="95B3D8"/>
            <w:noWrap/>
          </w:tcPr>
          <w:p w14:paraId="4E6B099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55BAC086" w14:textId="03AA88E3" w:rsidTr="00A615FE">
        <w:trPr>
          <w:trHeight w:val="276"/>
        </w:trPr>
        <w:tc>
          <w:tcPr>
            <w:tcW w:w="7508" w:type="dxa"/>
            <w:gridSpan w:val="5"/>
            <w:shd w:val="clear" w:color="auto" w:fill="auto"/>
            <w:noWrap/>
          </w:tcPr>
          <w:p w14:paraId="02DCD1A7"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3A6D7E" w:rsidRPr="0028494E" w:rsidRDefault="003A6D7E" w:rsidP="009D5282">
            <w:pPr>
              <w:suppressAutoHyphens/>
              <w:rPr>
                <w:rFonts w:ascii="Cambria" w:hAnsi="Cambria" w:cs="Calibri Light"/>
                <w:b/>
                <w:bCs/>
                <w:sz w:val="18"/>
                <w:szCs w:val="18"/>
                <w:lang w:val="nb-NO" w:eastAsia="zh-CN"/>
              </w:rPr>
            </w:pPr>
          </w:p>
        </w:tc>
        <w:tc>
          <w:tcPr>
            <w:tcW w:w="2268" w:type="dxa"/>
            <w:shd w:val="clear" w:color="auto" w:fill="auto"/>
          </w:tcPr>
          <w:p w14:paraId="19B87DB1"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40522603" w14:textId="77777777" w:rsidR="003A6D7E" w:rsidRPr="0028494E" w:rsidRDefault="003A6D7E" w:rsidP="009D5282">
            <w:pPr>
              <w:suppressAutoHyphens/>
              <w:rPr>
                <w:rFonts w:ascii="Cambria" w:hAnsi="Cambria" w:cs="Calibri Light"/>
                <w:sz w:val="18"/>
                <w:szCs w:val="18"/>
                <w:lang w:val="nb-NO" w:eastAsia="zh-CN"/>
              </w:rPr>
            </w:pPr>
          </w:p>
        </w:tc>
      </w:tr>
      <w:tr w:rsidR="00A615FE" w:rsidRPr="0028494E" w14:paraId="60FF41A7" w14:textId="2A8907C0" w:rsidTr="00D04028">
        <w:trPr>
          <w:trHeight w:val="276"/>
        </w:trPr>
        <w:tc>
          <w:tcPr>
            <w:tcW w:w="7508" w:type="dxa"/>
            <w:gridSpan w:val="5"/>
            <w:shd w:val="clear" w:color="auto" w:fill="B9CCE5"/>
            <w:noWrap/>
          </w:tcPr>
          <w:p w14:paraId="7878AA9F" w14:textId="77777777" w:rsidR="00A615FE" w:rsidRPr="0028494E" w:rsidRDefault="00A615FE" w:rsidP="009D5282">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A615FE" w:rsidRPr="0028494E" w:rsidRDefault="00A615FE" w:rsidP="00A615FE">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4A026950" w14:textId="6B8483BB" w:rsidTr="00D04028">
        <w:trPr>
          <w:trHeight w:val="276"/>
        </w:trPr>
        <w:tc>
          <w:tcPr>
            <w:tcW w:w="7508" w:type="dxa"/>
            <w:gridSpan w:val="5"/>
            <w:shd w:val="clear" w:color="auto" w:fill="B9CCE5"/>
            <w:noWrap/>
          </w:tcPr>
          <w:p w14:paraId="3B868D18" w14:textId="77777777" w:rsidR="00A615FE" w:rsidRPr="0028494E" w:rsidRDefault="00A615FE" w:rsidP="009D5282">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A615FE" w:rsidRPr="0028494E" w:rsidRDefault="00A615FE" w:rsidP="009D5282">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F12811">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8299" w14:textId="77777777" w:rsidR="00A54FB3" w:rsidRDefault="00A54FB3" w:rsidP="003A6D7E">
      <w:r>
        <w:separator/>
      </w:r>
    </w:p>
  </w:endnote>
  <w:endnote w:type="continuationSeparator" w:id="0">
    <w:p w14:paraId="0622CDE0" w14:textId="77777777" w:rsidR="00A54FB3" w:rsidRDefault="00A54FB3"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3586" w14:textId="77777777" w:rsidR="00A54FB3" w:rsidRDefault="00A54FB3" w:rsidP="003A6D7E">
      <w:r>
        <w:separator/>
      </w:r>
    </w:p>
  </w:footnote>
  <w:footnote w:type="continuationSeparator" w:id="0">
    <w:p w14:paraId="57CEDC4C" w14:textId="77777777" w:rsidR="00A54FB3" w:rsidRDefault="00A54FB3"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proofErr w:type="spellStart"/>
      <w:r w:rsidRPr="002F4BF4">
        <w:rPr>
          <w:rFonts w:ascii="Cambria" w:hAnsi="Cambria"/>
          <w:sz w:val="18"/>
          <w:szCs w:val="18"/>
        </w:rPr>
        <w:t>lauku</w:t>
      </w:r>
      <w:proofErr w:type="spellEnd"/>
      <w:r w:rsidRPr="002F4BF4">
        <w:rPr>
          <w:rFonts w:ascii="Cambria" w:hAnsi="Cambria"/>
          <w:sz w:val="18"/>
          <w:szCs w:val="18"/>
        </w:rPr>
        <w:t xml:space="preserve"> </w:t>
      </w:r>
      <w:proofErr w:type="spellStart"/>
      <w:r w:rsidRPr="002F4BF4">
        <w:rPr>
          <w:rFonts w:ascii="Cambria" w:hAnsi="Cambria"/>
          <w:sz w:val="18"/>
          <w:szCs w:val="18"/>
        </w:rPr>
        <w:t>teritorija</w:t>
      </w:r>
      <w:proofErr w:type="spellEnd"/>
      <w:r w:rsidRPr="002F4BF4">
        <w:rPr>
          <w:rFonts w:ascii="Cambria" w:hAnsi="Cambria"/>
          <w:sz w:val="18"/>
          <w:szCs w:val="18"/>
        </w:rPr>
        <w:t xml:space="preserve"> – </w:t>
      </w:r>
      <w:proofErr w:type="spellStart"/>
      <w:r w:rsidRPr="002F4BF4">
        <w:rPr>
          <w:rFonts w:ascii="Cambria" w:hAnsi="Cambria"/>
          <w:sz w:val="18"/>
          <w:szCs w:val="18"/>
        </w:rPr>
        <w:t>Latvijas</w:t>
      </w:r>
      <w:proofErr w:type="spellEnd"/>
      <w:r w:rsidRPr="002F4BF4">
        <w:rPr>
          <w:rFonts w:ascii="Cambria" w:hAnsi="Cambria"/>
          <w:sz w:val="18"/>
          <w:szCs w:val="18"/>
        </w:rPr>
        <w:t xml:space="preserve"> </w:t>
      </w:r>
      <w:proofErr w:type="spellStart"/>
      <w:r w:rsidRPr="002F4BF4">
        <w:rPr>
          <w:rFonts w:ascii="Cambria" w:hAnsi="Cambria"/>
          <w:sz w:val="18"/>
          <w:szCs w:val="18"/>
        </w:rPr>
        <w:t>teritorija</w:t>
      </w:r>
      <w:proofErr w:type="spellEnd"/>
      <w:r w:rsidRPr="002F4BF4">
        <w:rPr>
          <w:rFonts w:ascii="Cambria" w:hAnsi="Cambria"/>
          <w:sz w:val="18"/>
          <w:szCs w:val="18"/>
        </w:rPr>
        <w:t xml:space="preserve">, </w:t>
      </w:r>
      <w:proofErr w:type="spellStart"/>
      <w:r w:rsidRPr="002F4BF4">
        <w:rPr>
          <w:rFonts w:ascii="Cambria" w:hAnsi="Cambria"/>
          <w:sz w:val="18"/>
          <w:szCs w:val="18"/>
        </w:rPr>
        <w:t>izņemot</w:t>
      </w:r>
      <w:proofErr w:type="spellEnd"/>
      <w:r w:rsidRPr="002F4BF4">
        <w:rPr>
          <w:rFonts w:ascii="Cambria" w:hAnsi="Cambria"/>
          <w:sz w:val="18"/>
          <w:szCs w:val="18"/>
        </w:rPr>
        <w:t xml:space="preserve"> </w:t>
      </w:r>
      <w:proofErr w:type="spellStart"/>
      <w:r w:rsidRPr="002F4BF4">
        <w:rPr>
          <w:rFonts w:ascii="Cambria" w:hAnsi="Cambria"/>
          <w:sz w:val="18"/>
          <w:szCs w:val="18"/>
        </w:rPr>
        <w:t>valstspilsētas</w:t>
      </w:r>
      <w:proofErr w:type="spellEnd"/>
      <w:r w:rsidRPr="002F4BF4">
        <w:rPr>
          <w:rFonts w:ascii="Cambria" w:hAnsi="Cambria"/>
          <w:sz w:val="18"/>
          <w:szCs w:val="18"/>
        </w:rPr>
        <w:t xml:space="preserve"> un </w:t>
      </w:r>
      <w:proofErr w:type="spellStart"/>
      <w:r w:rsidRPr="002F4BF4">
        <w:rPr>
          <w:rFonts w:ascii="Cambria" w:hAnsi="Cambria"/>
          <w:sz w:val="18"/>
          <w:szCs w:val="18"/>
        </w:rPr>
        <w:t>pilsētas</w:t>
      </w:r>
      <w:proofErr w:type="spellEnd"/>
      <w:r w:rsidRPr="002F4BF4">
        <w:rPr>
          <w:rFonts w:ascii="Cambria" w:hAnsi="Cambria"/>
          <w:sz w:val="18"/>
          <w:szCs w:val="18"/>
        </w:rPr>
        <w:t xml:space="preserve">, </w:t>
      </w:r>
      <w:proofErr w:type="spellStart"/>
      <w:r w:rsidRPr="002F4BF4">
        <w:rPr>
          <w:rFonts w:ascii="Cambria" w:hAnsi="Cambria"/>
          <w:sz w:val="18"/>
          <w:szCs w:val="18"/>
        </w:rPr>
        <w:t>kurās</w:t>
      </w:r>
      <w:proofErr w:type="spellEnd"/>
      <w:r w:rsidRPr="002F4BF4">
        <w:rPr>
          <w:rFonts w:ascii="Cambria" w:hAnsi="Cambria"/>
          <w:sz w:val="18"/>
          <w:szCs w:val="18"/>
        </w:rPr>
        <w:t xml:space="preserve"> </w:t>
      </w:r>
      <w:proofErr w:type="spellStart"/>
      <w:r w:rsidRPr="002F4BF4">
        <w:rPr>
          <w:rFonts w:ascii="Cambria" w:hAnsi="Cambria"/>
          <w:sz w:val="18"/>
          <w:szCs w:val="18"/>
        </w:rPr>
        <w:t>ir</w:t>
      </w:r>
      <w:proofErr w:type="spellEnd"/>
      <w:r w:rsidRPr="002F4BF4">
        <w:rPr>
          <w:rFonts w:ascii="Cambria" w:hAnsi="Cambria"/>
          <w:sz w:val="18"/>
          <w:szCs w:val="18"/>
        </w:rPr>
        <w:t xml:space="preserve"> </w:t>
      </w:r>
      <w:proofErr w:type="spellStart"/>
      <w:r w:rsidRPr="002F4BF4">
        <w:rPr>
          <w:rFonts w:ascii="Cambria" w:hAnsi="Cambria"/>
          <w:sz w:val="18"/>
          <w:szCs w:val="18"/>
        </w:rPr>
        <w:t>vairāk</w:t>
      </w:r>
      <w:proofErr w:type="spellEnd"/>
      <w:r w:rsidRPr="002F4BF4">
        <w:rPr>
          <w:rFonts w:ascii="Cambria" w:hAnsi="Cambria"/>
          <w:sz w:val="18"/>
          <w:szCs w:val="18"/>
        </w:rPr>
        <w:t xml:space="preserve"> </w:t>
      </w:r>
      <w:proofErr w:type="spellStart"/>
      <w:r w:rsidRPr="002F4BF4">
        <w:rPr>
          <w:rFonts w:ascii="Cambria" w:hAnsi="Cambria"/>
          <w:sz w:val="18"/>
          <w:szCs w:val="18"/>
        </w:rPr>
        <w:t>nekā</w:t>
      </w:r>
      <w:proofErr w:type="spellEnd"/>
      <w:r w:rsidRPr="002F4BF4">
        <w:rPr>
          <w:rFonts w:ascii="Cambria" w:hAnsi="Cambria"/>
          <w:sz w:val="18"/>
          <w:szCs w:val="18"/>
        </w:rPr>
        <w:t xml:space="preserve"> 5000 </w:t>
      </w:r>
      <w:proofErr w:type="spellStart"/>
      <w:r w:rsidRPr="002F4BF4">
        <w:rPr>
          <w:rFonts w:ascii="Cambria" w:hAnsi="Cambria"/>
          <w:sz w:val="18"/>
          <w:szCs w:val="18"/>
        </w:rPr>
        <w:t>iedzīvotāju</w:t>
      </w:r>
      <w:proofErr w:type="spellEnd"/>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564397">
        <w:rPr>
          <w:rFonts w:ascii="Cambria" w:hAnsi="Cambria"/>
          <w:sz w:val="18"/>
          <w:szCs w:val="18"/>
          <w:lang w:val="lv-LV"/>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564397">
        <w:rPr>
          <w:rFonts w:ascii="Cambria" w:hAnsi="Cambria"/>
          <w:sz w:val="18"/>
          <w:szCs w:val="18"/>
          <w:shd w:val="clear" w:color="auto" w:fill="FFFFFF" w:themeFill="background1"/>
          <w:lang w:val="lv-LV"/>
        </w:rPr>
        <w:t xml:space="preserve"> </w:t>
      </w:r>
      <w:r w:rsidRPr="00564397">
        <w:rPr>
          <w:rFonts w:ascii="Cambria" w:hAnsi="Cambria"/>
          <w:b/>
          <w:bCs/>
          <w:sz w:val="18"/>
          <w:szCs w:val="18"/>
          <w:shd w:val="clear" w:color="auto" w:fill="FFFFFF" w:themeFill="background1"/>
          <w:lang w:val="lv-LV"/>
        </w:rPr>
        <w:t>Būvniecības projektiem</w:t>
      </w:r>
      <w:r w:rsidRPr="00564397">
        <w:rPr>
          <w:rFonts w:ascii="Cambria" w:hAnsi="Cambria"/>
          <w:sz w:val="18"/>
          <w:szCs w:val="18"/>
          <w:shd w:val="clear" w:color="auto" w:fill="FFFFFF" w:themeFill="background1"/>
          <w:lang w:val="lv-LV"/>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564397">
        <w:rPr>
          <w:rFonts w:ascii="Cambria" w:hAnsi="Cambria"/>
          <w:b/>
          <w:bCs/>
          <w:sz w:val="18"/>
          <w:szCs w:val="18"/>
          <w:shd w:val="clear" w:color="auto" w:fill="FFFFFF" w:themeFill="background1"/>
          <w:lang w:val="lv-LV"/>
        </w:rPr>
        <w:t>Pamatlīdzekļu iegādes projektiem</w:t>
      </w:r>
      <w:r w:rsidRPr="00564397">
        <w:rPr>
          <w:rFonts w:ascii="Cambria" w:hAnsi="Cambria"/>
          <w:sz w:val="18"/>
          <w:szCs w:val="18"/>
          <w:shd w:val="clear" w:color="auto" w:fill="FFFFFF" w:themeFill="background1"/>
          <w:lang w:val="lv-LV"/>
        </w:rPr>
        <w:t xml:space="preserve"> – ir veikta iepirkuma procedūra un ir pievienoti citi nepieciešamie dokumenti, kas norādīti veidlapas D sadaļā. </w:t>
      </w:r>
      <w:proofErr w:type="spellStart"/>
      <w:r w:rsidRPr="002F4BF4">
        <w:rPr>
          <w:rFonts w:ascii="Cambria" w:hAnsi="Cambria"/>
          <w:sz w:val="18"/>
          <w:szCs w:val="18"/>
          <w:shd w:val="clear" w:color="auto" w:fill="FFFFFF" w:themeFill="background1"/>
        </w:rPr>
        <w:t>Sagatavotie</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dokumenti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ir</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kvalitatīvi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salasāmi</w:t>
      </w:r>
      <w:proofErr w:type="spellEnd"/>
      <w:r w:rsidRPr="002F4BF4">
        <w:rPr>
          <w:rFonts w:ascii="Cambria" w:hAnsi="Cambria"/>
          <w:sz w:val="18"/>
          <w:szCs w:val="18"/>
          <w:shd w:val="clear" w:color="auto" w:fill="FFFFFF" w:themeFill="background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81B" w14:textId="58A51BCD" w:rsidR="0035669E" w:rsidRPr="0035669E" w:rsidRDefault="00EB1366" w:rsidP="0035669E">
    <w:pPr>
      <w:pStyle w:val="Header"/>
      <w:jc w:val="right"/>
      <w:rPr>
        <w:rFonts w:ascii="Cambria" w:hAnsi="Cambria"/>
        <w:lang w:val="lv-LV"/>
      </w:rPr>
    </w:pPr>
    <w:r>
      <w:rPr>
        <w:rFonts w:ascii="Cambria" w:hAnsi="Cambria"/>
        <w:lang w:val="lv-LV"/>
      </w:rPr>
      <w:t>2</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C0D67"/>
    <w:rsid w:val="000D6190"/>
    <w:rsid w:val="00145672"/>
    <w:rsid w:val="0028494E"/>
    <w:rsid w:val="002930E9"/>
    <w:rsid w:val="002F4BF4"/>
    <w:rsid w:val="0035669E"/>
    <w:rsid w:val="003A6D7E"/>
    <w:rsid w:val="00425E51"/>
    <w:rsid w:val="00446976"/>
    <w:rsid w:val="00564397"/>
    <w:rsid w:val="005F67A0"/>
    <w:rsid w:val="00611B8C"/>
    <w:rsid w:val="00625933"/>
    <w:rsid w:val="0079696D"/>
    <w:rsid w:val="007B580E"/>
    <w:rsid w:val="007C4ED5"/>
    <w:rsid w:val="00886043"/>
    <w:rsid w:val="008C2E5C"/>
    <w:rsid w:val="00960BEB"/>
    <w:rsid w:val="00990E0C"/>
    <w:rsid w:val="009D5282"/>
    <w:rsid w:val="00A54FB3"/>
    <w:rsid w:val="00A615FE"/>
    <w:rsid w:val="00B40047"/>
    <w:rsid w:val="00B564C3"/>
    <w:rsid w:val="00B94E57"/>
    <w:rsid w:val="00C73657"/>
    <w:rsid w:val="00CB4226"/>
    <w:rsid w:val="00D04028"/>
    <w:rsid w:val="00D5262C"/>
    <w:rsid w:val="00DF73E0"/>
    <w:rsid w:val="00E53E0F"/>
    <w:rsid w:val="00EB1366"/>
    <w:rsid w:val="00F12811"/>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8845</Words>
  <Characters>5043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2024-11-01T07:54:00Z</dcterms:created>
  <dcterms:modified xsi:type="dcterms:W3CDTF">2024-11-01T07:54:00Z</dcterms:modified>
</cp:coreProperties>
</file>