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2B2" w14:textId="26C22FE0" w:rsidR="000073ED" w:rsidRPr="007D1BA5" w:rsidRDefault="000073ED" w:rsidP="000073E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</w:pPr>
      <w:r w:rsidRPr="007D1BA5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>Projektu atlases kritērij</w:t>
      </w:r>
      <w:r w:rsidR="00014603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>u</w:t>
      </w:r>
      <w:r w:rsidRPr="007D1BA5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 xml:space="preserve"> meža ieaudzēšanai</w:t>
      </w:r>
      <w:r w:rsidR="00EE0E93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 xml:space="preserve"> </w:t>
      </w:r>
      <w:r w:rsidR="004C5CE0" w:rsidRPr="007D1BA5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val="lv-LV" w:eastAsia="en-GB" w:bidi="lo-LA"/>
        </w:rPr>
        <w:t>skaidrojums</w:t>
      </w:r>
    </w:p>
    <w:tbl>
      <w:tblPr>
        <w:tblW w:w="1558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701"/>
        <w:gridCol w:w="1781"/>
        <w:gridCol w:w="4292"/>
        <w:gridCol w:w="1263"/>
        <w:gridCol w:w="1268"/>
        <w:gridCol w:w="6280"/>
      </w:tblGrid>
      <w:tr w:rsidR="00674427" w:rsidRPr="007D1BA5" w14:paraId="43183119" w14:textId="0BFCDBA4" w:rsidTr="007D1BA5">
        <w:trPr>
          <w:trHeight w:val="734"/>
        </w:trPr>
        <w:tc>
          <w:tcPr>
            <w:tcW w:w="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9BCB30" w14:textId="77777777" w:rsidR="00674427" w:rsidRPr="007D1BA5" w:rsidRDefault="00674427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Nr.</w:t>
            </w: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br/>
              <w:t>p. k.</w:t>
            </w:r>
          </w:p>
        </w:tc>
        <w:tc>
          <w:tcPr>
            <w:tcW w:w="17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CED6F1" w14:textId="77777777" w:rsidR="00674427" w:rsidRPr="007D1BA5" w:rsidRDefault="00674427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Kritēriju grupa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18A19C" w14:textId="77777777" w:rsidR="00674427" w:rsidRPr="007D1BA5" w:rsidRDefault="00674427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Kritērijs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CB123" w14:textId="77777777" w:rsidR="00674427" w:rsidRPr="007D1BA5" w:rsidRDefault="00674427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Punktu skaits kritērijā</w:t>
            </w:r>
          </w:p>
        </w:tc>
        <w:tc>
          <w:tcPr>
            <w:tcW w:w="1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249942" w14:textId="77777777" w:rsidR="00674427" w:rsidRPr="007D1BA5" w:rsidRDefault="00674427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Maksimāli iespējamais punktu skaits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82CB09" w14:textId="74EA060F" w:rsidR="00674427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Skaidrojums</w:t>
            </w:r>
          </w:p>
        </w:tc>
      </w:tr>
      <w:tr w:rsidR="004C5CE0" w:rsidRPr="007D1BA5" w14:paraId="36C01052" w14:textId="7AB41BC4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2067CC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3ABD2D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Erozijai pakļautā zemes vienība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78266F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Mežs tiek ieaudzēts erozijai pakļautā zemes vienībā (E2, E3)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676E47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FE8EFA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1D2B8714" w14:textId="69545B54" w:rsidR="00995300" w:rsidRPr="007D1BA5" w:rsidRDefault="00E24B18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</w:t>
            </w:r>
            <w:r w:rsidR="00CD7F32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ķir, ja</w:t>
            </w:r>
            <w:r w:rsidR="00995300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apmežojamā augsne ir ar E2 vai E3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erozijas</w:t>
            </w:r>
            <w:r w:rsidR="00995300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pakāpi.</w:t>
            </w:r>
          </w:p>
          <w:p w14:paraId="5835920C" w14:textId="77777777" w:rsidR="00995300" w:rsidRPr="007D1BA5" w:rsidRDefault="0099530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Telpiskā informācija par augsnes tipu un erozijas pakāpi pieejama </w:t>
            </w:r>
            <w:hyperlink r:id="rId7" w:history="1">
              <w:r w:rsidRPr="007D1B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https://geolatvija.lv/geo/mapviewer?licenceId=Free-239</w:t>
              </w:r>
            </w:hyperlink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5931AB10" w14:textId="77777777" w:rsidR="00995300" w:rsidRPr="007D1BA5" w:rsidRDefault="0099530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Meklēt pēc adreses, teritorijas vai zemes vienības. </w:t>
            </w:r>
          </w:p>
          <w:p w14:paraId="7617DD4E" w14:textId="27B59ACD" w:rsidR="00995300" w:rsidRPr="007D1BA5" w:rsidRDefault="0099530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Apzīmējumi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pieejami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Slānī &gt;Leģenda (aug</w:t>
            </w:r>
            <w:r w:rsidR="00FB20D0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nes tipi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kas ietver</w:t>
            </w:r>
            <w:r w:rsidR="00FB20D0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apzīmējumu E2 vai E3.</w:t>
            </w:r>
          </w:p>
          <w:p w14:paraId="6A9A2603" w14:textId="474B6ABC" w:rsidR="00FB20D0" w:rsidRPr="007D1BA5" w:rsidRDefault="00FB20D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Ja augsne nav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erodēta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tad punkt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us nepiešķir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</w:tc>
      </w:tr>
      <w:tr w:rsidR="004C5CE0" w:rsidRPr="007D1BA5" w14:paraId="7356A0C0" w14:textId="36B12C03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3EEB3E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D347A5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705F87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Mežs netiek ieaudzēts erozijai pakļautā zemes vienībā (E2, E3)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DBA7F" w14:textId="77777777" w:rsidR="004C5CE0" w:rsidRPr="007D1BA5" w:rsidRDefault="004C5CE0" w:rsidP="000073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B88F19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F250A5" w14:textId="77777777" w:rsidR="004C5CE0" w:rsidRPr="007D1BA5" w:rsidRDefault="004C5CE0" w:rsidP="008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7A223781" w14:textId="7C0CB6CF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61CA87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A382B9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Zemes kvalitatīvais novērtējums ballēs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DAB958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 kvalitātes grupa – līdz 10 ballēm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05190B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25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9E9E0D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25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A0D3CBA" w14:textId="77777777" w:rsidR="004C5CE0" w:rsidRPr="007D1BA5" w:rsidRDefault="003A2F17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piešķir par apmežojamās zemes vienības baļļu novērtējumu.</w:t>
            </w:r>
          </w:p>
          <w:p w14:paraId="26C7EF4B" w14:textId="02B35BC0" w:rsidR="003A2F17" w:rsidRPr="007D1BA5" w:rsidRDefault="003A2F17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Vairāku zemes vienību apmežošanas gadījumā tie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rēķināts vidējais zemes novērtējums un pie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ķirti rindošanas punkti.</w:t>
            </w:r>
            <w:r w:rsidR="009771C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433CCB3D" w14:textId="77777777" w:rsidR="003A2F17" w:rsidRPr="007D1BA5" w:rsidRDefault="003A2F17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Informācija pieejama īpašnieka profilā portālā </w:t>
            </w:r>
            <w:hyperlink r:id="rId8" w:history="1">
              <w:r w:rsidRPr="007D1B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www.latvija.lv</w:t>
              </w:r>
            </w:hyperlink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sadaļā par nekustamo īpašumu.</w:t>
            </w:r>
          </w:p>
          <w:p w14:paraId="3BEB3B5F" w14:textId="0C09DF00" w:rsidR="003A2F17" w:rsidRPr="007D1BA5" w:rsidRDefault="003A2F17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Telpiska informācija pieejama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</w:p>
          <w:p w14:paraId="313DEB6A" w14:textId="77777777" w:rsidR="003A2F17" w:rsidRPr="007D1BA5" w:rsidRDefault="00EE0E93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hyperlink r:id="rId9" w:history="1">
              <w:r w:rsidR="003A2F17" w:rsidRPr="007D1B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https://geolatvija.lv/geo/mapviewer?licenceId=Free-243</w:t>
              </w:r>
            </w:hyperlink>
            <w:r w:rsidR="003A2F17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2F7D0445" w14:textId="77777777" w:rsidR="009F1909" w:rsidRPr="007D1BA5" w:rsidRDefault="009F1909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Meklēt pēc adreses, teritorijas vai zemes vienības. </w:t>
            </w:r>
          </w:p>
          <w:p w14:paraId="0ECE207C" w14:textId="70E2681F" w:rsidR="009F1909" w:rsidRPr="007D1BA5" w:rsidRDefault="009F1909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Apzīmējumi pieejami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Slānī &gt;Leģenda (zemes kvalitatīvā vērtība ballēs pēc krāsas diapazona).</w:t>
            </w:r>
          </w:p>
        </w:tc>
      </w:tr>
      <w:tr w:rsidR="004C5CE0" w:rsidRPr="007D1BA5" w14:paraId="7EF55648" w14:textId="14C0DD23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B84774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99DCB8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B565CC" w14:textId="77777777" w:rsidR="004C5CE0" w:rsidRPr="007D1BA5" w:rsidRDefault="004C5CE0" w:rsidP="000073ED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II kvalitātes grupa – no 11 līdz 20 ballēm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0F0CC3" w14:textId="77777777" w:rsidR="004C5CE0" w:rsidRPr="007D1BA5" w:rsidRDefault="004C5CE0" w:rsidP="000073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6983E3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45F04202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6B9EF0D9" w14:textId="2D212CB5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FBF88D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7AFE61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7DC22E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III kvalitātes grupa – vairāk par 20 ballēm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F2AC3" w14:textId="77777777" w:rsidR="004C5CE0" w:rsidRPr="007D1BA5" w:rsidRDefault="004C5CE0" w:rsidP="000073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6862B1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BCD765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6D7F5158" w14:textId="23A02E03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8A98C9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143CD9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Kūdras augsne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6F24E6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Kūdras augsne aizņem vismaz 50 procentu no kopējās platības, kurā plānots īstenot projektu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E7841D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25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C43057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25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5F5ADD54" w14:textId="7D63B90A" w:rsidR="00861A86" w:rsidRPr="007D1BA5" w:rsidRDefault="00861A86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piešķir par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kūdras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="003258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augšņu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platību īpatsvaru, ko plāno apmežot projekta ietvaros.</w:t>
            </w:r>
          </w:p>
          <w:p w14:paraId="34E0D000" w14:textId="5F437539" w:rsidR="003258B5" w:rsidRPr="007D1BA5" w:rsidRDefault="003258B5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Informāciju par kūdras au</w:t>
            </w:r>
            <w:r w:rsidR="00176F14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gsnēm īpašnieks apliecina ar tam pieejamu dokumentālu apliecinājumu.</w:t>
            </w:r>
          </w:p>
          <w:p w14:paraId="229CC20E" w14:textId="1034A797" w:rsidR="003258B5" w:rsidRPr="007D1BA5" w:rsidRDefault="003258B5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Telpisku informāciju par kūdras augsnēm var iegūt </w:t>
            </w:r>
            <w:hyperlink r:id="rId10" w:history="1">
              <w:r w:rsidRPr="007D1BA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https://geolatvija.lv/geo/mapviewer?licenceId=Free-239</w:t>
              </w:r>
            </w:hyperlink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  <w:p w14:paraId="23630597" w14:textId="77777777" w:rsidR="009F1909" w:rsidRPr="007D1BA5" w:rsidRDefault="009F1909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Meklēt pēc adreses, teritorijas vai zemes vienības. </w:t>
            </w:r>
          </w:p>
          <w:p w14:paraId="4F0E1309" w14:textId="35E52772" w:rsidR="009F1909" w:rsidRPr="007D1BA5" w:rsidRDefault="009F1909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Apzīmējumi pieejami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: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Slānī &gt;Leģenda (Zemes veidu apzīmējumi, kas ietver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simbolu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T – trūdaini kūdrainā vai kūdrainā augsne).</w:t>
            </w:r>
          </w:p>
          <w:p w14:paraId="5311E75B" w14:textId="1BE46335" w:rsidR="004C5CE0" w:rsidRPr="007D1BA5" w:rsidRDefault="00176F14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Ja apmežojamā platībā nav kūdras augsnes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rindošanas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us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nepi</w:t>
            </w:r>
            <w:r w:rsid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</w:tc>
      </w:tr>
      <w:tr w:rsidR="004C5CE0" w:rsidRPr="007D1BA5" w14:paraId="1A4578CB" w14:textId="70E565B9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6091B5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C2A698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7DE6E4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Kūdras augsne aizņem ne vairāk kā 50 procentu no kopējās platības, kurā plānots īstenot projektu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0F9238" w14:textId="77777777" w:rsidR="004C5CE0" w:rsidRPr="007D1BA5" w:rsidRDefault="004C5CE0" w:rsidP="000073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93C93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C57FB" w14:textId="77777777" w:rsidR="004C5CE0" w:rsidRPr="007D1BA5" w:rsidRDefault="004C5CE0" w:rsidP="00820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28C3ED34" w14:textId="5C47EFB4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37CFB9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8E417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Krūmāji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C3382B" w14:textId="77777777" w:rsidR="004C5CE0" w:rsidRPr="007D1BA5" w:rsidRDefault="004C5CE0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Krūmāji aizņem vismaz 50 procentu no kopējās platības, kurā plānots īstenot projektu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4EC673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201B4B" w14:textId="77777777" w:rsidR="004C5CE0" w:rsidRPr="007D1BA5" w:rsidRDefault="004C5CE0" w:rsidP="007D1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7EE5CC0F" w14:textId="3D3FA38D" w:rsidR="0032169E" w:rsidRPr="007D1BA5" w:rsidRDefault="0032169E" w:rsidP="007D1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piešķir par krūmāju platību īpatsvaru</w:t>
            </w:r>
            <w:r w:rsidR="00220E4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īpašumā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ko plāno apmežot projekta ietvaros.</w:t>
            </w:r>
          </w:p>
          <w:p w14:paraId="6D1ADEBC" w14:textId="77777777" w:rsidR="00220E47" w:rsidRDefault="0032169E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Informāciju par krūmāju platību apmežojamā zemes vienībā apliecina ar zemes vienības eksplikācijas plānā norādīto informāciju</w:t>
            </w:r>
            <w:r w:rsidR="00220E4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  <w:p w14:paraId="4EC3BD15" w14:textId="0F032B99" w:rsidR="0032169E" w:rsidRPr="007D1BA5" w:rsidRDefault="00220E4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Ja apmežojamā platībā nav krūmāji</w:t>
            </w: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punktus nepiešķir.</w:t>
            </w:r>
          </w:p>
        </w:tc>
      </w:tr>
      <w:tr w:rsidR="004C5CE0" w:rsidRPr="007D1BA5" w14:paraId="7E4E18F4" w14:textId="4639AFA9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6FBF60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0DBDC2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35AD4C" w14:textId="77777777" w:rsidR="004C5CE0" w:rsidRPr="007D1BA5" w:rsidRDefault="004C5CE0" w:rsidP="000073ED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Krūmāji aizņem ne vairāk kā 50 procentu no kopējās platības, kurā plānots īstenot projektu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45ECCB" w14:textId="77777777" w:rsidR="004C5CE0" w:rsidRPr="007D1BA5" w:rsidRDefault="004C5CE0" w:rsidP="000073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99D35B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14C8DA" w14:textId="77777777" w:rsidR="004C5CE0" w:rsidRPr="007D1BA5" w:rsidRDefault="004C5CE0" w:rsidP="0000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674427" w:rsidRPr="007D1BA5" w14:paraId="3B47D328" w14:textId="6E6A2098" w:rsidTr="007D1BA5">
        <w:tc>
          <w:tcPr>
            <w:tcW w:w="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0531C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5.</w:t>
            </w:r>
          </w:p>
        </w:tc>
        <w:tc>
          <w:tcPr>
            <w:tcW w:w="178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21266D" w14:textId="77777777" w:rsidR="00674427" w:rsidRPr="007D1BA5" w:rsidRDefault="0067442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Meža ieaudzēšana paredzēta dabas aizsardzības plānā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CBE17D" w14:textId="77777777" w:rsidR="00674427" w:rsidRPr="007D1BA5" w:rsidRDefault="0067442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Meža ieaudzēšana ir paredzēta īpaši aizsargājamās dabas teritorijas dabas aizsardzības plānā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965399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1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11F098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20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5219C" w14:textId="060F88E8" w:rsidR="00674427" w:rsidRPr="007D1BA5" w:rsidRDefault="00125252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ja platība</w:t>
            </w:r>
            <w:r w:rsidR="00220E4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kuru plānots apmežot atrodas īpaši aizsargājamā dabas teritorijā un apmežošanu paredz š</w:t>
            </w:r>
            <w:r w:rsidR="009F1909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ī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s teritorijas aizsardzības plāns.</w:t>
            </w:r>
          </w:p>
          <w:p w14:paraId="31414CFF" w14:textId="77777777" w:rsidR="00E24B18" w:rsidRDefault="00E24B18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To apliecina ar īpaši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aizsargājamās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teritorijas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apsaimniekotāja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atzinumu vai atsauci uz plānu.</w:t>
            </w:r>
          </w:p>
          <w:p w14:paraId="78715968" w14:textId="06A43317" w:rsidR="00DB47F9" w:rsidRPr="007D1BA5" w:rsidRDefault="00DB47F9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Telpiskā informācija par to vai platība neietilpt kādā no aizsargājamām teritorijām var iegūt </w:t>
            </w:r>
            <w:hyperlink r:id="rId11" w:history="1">
              <w:r w:rsidRPr="0061520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lv-LV" w:eastAsia="en-GB" w:bidi="lo-LA"/>
                </w:rPr>
                <w:t>https://ozols.gov.lv/pub</w:t>
              </w:r>
            </w:hyperlink>
            <w: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</w:p>
        </w:tc>
      </w:tr>
      <w:tr w:rsidR="00674427" w:rsidRPr="007D1BA5" w14:paraId="56C586E8" w14:textId="2F7FE417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7C7A80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6.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745997" w14:textId="77777777" w:rsidR="00674427" w:rsidRPr="007D1BA5" w:rsidRDefault="0067442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Atbalsta pretendents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9DCE91" w14:textId="77777777" w:rsidR="00674427" w:rsidRPr="007D1BA5" w:rsidRDefault="0067442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Pretendentam (fiziskai personai) ir augstākā vai vidējā speciālā mežsaimnieciskā izglītība vai pretendents ir meža īpašnieku kooperatīva (mežsaimniecības pakalpojumu kooperatīvās sabiedrības) vai biedrību un nodibinājumu reģistrā reģistrētas meža īpašnieku biedrības biedrs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val="lv-LV" w:eastAsia="en-GB" w:bidi="lo-LA"/>
              </w:rPr>
              <w:t>1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0A9347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C0D559" w14:textId="77777777" w:rsidR="00674427" w:rsidRPr="007D1BA5" w:rsidRDefault="00674427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8AE0F" w14:textId="77777777" w:rsidR="00220E47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Izglītība - punktus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, ja pretendents (f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iz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iska persona) pieteikumam pievieno mežsaimniecisko izglītību iegūšanas apliecinošo dokumentu (norādīta kvalifikācija vai apgūtas programm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s nosaukums un apguves termiņš). Par atbilstošam tiek uzskaitītas vispārīgās izglītības un augstākās izglītības programmas kas ietver mežsaimniecības un mežistrādes nozares. </w:t>
            </w:r>
            <w:r w:rsidRPr="00220E4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lv-LV" w:eastAsia="en-GB" w:bidi="lo-LA"/>
              </w:rPr>
              <w:t xml:space="preserve">Piemēram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: mežsaimniecības tehniķis, mežistrādes inženieris, mežzinātne. </w:t>
            </w:r>
          </w:p>
          <w:p w14:paraId="5277032F" w14:textId="77777777" w:rsidR="00220E47" w:rsidRDefault="00220E4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  <w:p w14:paraId="1CD1EB08" w14:textId="75DA4ADD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Par izglītību, kas saistīta ar mežsaimniecības blakus nozarēm -kokapstrādi, galdniecību vai īsiem specializētiem kursiem punkti netiek pie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š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ķirti.</w:t>
            </w:r>
          </w:p>
          <w:p w14:paraId="40CCFBF4" w14:textId="77777777" w:rsidR="00220E47" w:rsidRDefault="00220E4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  <w:p w14:paraId="585E2331" w14:textId="3AC20880" w:rsidR="00674427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Dalība biedrībā vai kooperatīvā – punktus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meža īpašnieka (fiziska vai juridiska personas) dalību kādā no meža īpašnieku apvienībām vai kooperatīviem.</w:t>
            </w:r>
          </w:p>
        </w:tc>
      </w:tr>
      <w:tr w:rsidR="004C5CE0" w:rsidRPr="007D1BA5" w14:paraId="37198A46" w14:textId="2E78EAAA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D5485F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465966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E085AE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Pretendents (fiziska persona) ir apguvis mežsaimniecības mācību kursu Lauku attīstības programmas 2014.–2020. gadam pasākuma "Zināšanu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pārneses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un informācijas pasākumi"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apakšpasākumā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"Profesionālās izglītības un prasmju apguves pasākumi" un mežsaimniecības mācību kursu Latvijas Kopējās lauksaimniecības politikas stratēģiskā plāna 2023.–2027. gadam intervencē "Profesionālo zināšanu un prasmju pilnveide"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54624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10BC6D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8993C" w14:textId="77777777" w:rsidR="00220E47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to, ka zemes īpašnieks (fiziska persona) ir apguvusi mācību kursu kādā no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asākuma programmām, kas tiešā veidā saistīta ar mežsaimniecību, </w:t>
            </w:r>
            <w:r w:rsidRPr="00220E4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lv-LV" w:eastAsia="en-GB" w:bidi="lo-LA"/>
              </w:rPr>
              <w:t>piemēram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: meža atjaunošana un ieaudzēšana CO2 piesaistei, mežaudžu kopšana ražības palielināšanai utt. </w:t>
            </w:r>
          </w:p>
          <w:p w14:paraId="713575CD" w14:textId="77777777" w:rsidR="00220E47" w:rsidRDefault="00220E4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  <w:p w14:paraId="6FCF49C1" w14:textId="75E8709F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Punkti netiek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piešķirti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apgūtām programmām, kas saistītas ar meža blakusproduktu izmantošanu – medības, meža dzīvnieku slimības, meža blakusproduktu izmantošana utt. </w:t>
            </w:r>
          </w:p>
        </w:tc>
      </w:tr>
      <w:tr w:rsidR="004C5CE0" w:rsidRPr="007D1BA5" w14:paraId="3164888C" w14:textId="7E4D74AF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DA6FC0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FE0E29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722CEF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Pretendents (fiziska persona) ir apguvis mežsaimniecības mācību kursu Lauku attīstības programmas 2014.–2020. gadam pasākuma "Zināšanu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pārneses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un informācijas pasākumi" </w:t>
            </w:r>
            <w:proofErr w:type="spellStart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apakšpasākumā</w:t>
            </w:r>
            <w:proofErr w:type="spellEnd"/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"Profesionālās izglītības un prasmju apguves pasākumi" vai mežsaimniecības mācību kursu Latvijas Kopējās lauksaimniecības politikas stratēģiskā plāna 2023.–2027. gadam intervencē "Profesionālo zināšanu un prasmju pilnveide"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32B859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D6FAE8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19ECEB" w14:textId="77777777" w:rsidR="00220E47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to, ka zemes īpašnieks (fiziska persona) ir apguvusi mācību kursu kādā no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pasākuma programmām, kas tiešā veidā saistīta ar mežsaimniecību, </w:t>
            </w:r>
            <w:r w:rsidRPr="00220E47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val="lv-LV" w:eastAsia="en-GB" w:bidi="lo-LA"/>
              </w:rPr>
              <w:t>piemēram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: meža atjaunošana un ieaudzēšana CO2 piesaistei, mežaudžu kopšana ražības palielināšanai utt. </w:t>
            </w:r>
          </w:p>
          <w:p w14:paraId="39E088AF" w14:textId="77777777" w:rsidR="00220E47" w:rsidRDefault="00220E47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  <w:p w14:paraId="7C825C46" w14:textId="23A2DC0C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Punkti netiek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piešķirti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par apgūtām programmām, kas saistītas ar meža blakusproduktu izmantošanu – medības, meža dzīvnieku slimības, meža blakusproduktu izmantošana utt. </w:t>
            </w:r>
          </w:p>
        </w:tc>
      </w:tr>
      <w:tr w:rsidR="004C5CE0" w:rsidRPr="007D1BA5" w14:paraId="00EF8A6D" w14:textId="301AEFA1" w:rsidTr="007D1BA5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D73CD8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lastRenderedPageBreak/>
              <w:t>7.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463070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Īpašumā esošā meža platība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BD3033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Līdz 50 ha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EEE394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9D7072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15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35705CB3" w14:textId="36937EF1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Punktus piešķir par pretendenta 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īpašumā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esošām meža platībām. Kopīpašumu gadījumā meža platību dala proporcionāli īpašnieku skaitam.</w:t>
            </w:r>
          </w:p>
          <w:p w14:paraId="1467B341" w14:textId="36AE1A71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07CF0A4B" w14:textId="69548E31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E363E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3964E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FA1300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50,1 līdz 200 ha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7BE5E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0EEE0B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BDFD5E0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065C3E35" w14:textId="051CD7AF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CAA11C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937C0C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0AC022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No 200,1 līdz 500 ha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79C839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02ED74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E8AF7DE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51A8F5AC" w14:textId="7453C853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CB1A2C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B7D62F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0BEDC" w14:textId="77777777" w:rsidR="004C5CE0" w:rsidRPr="007D1BA5" w:rsidRDefault="004C5CE0" w:rsidP="00220E47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Vairāk nekā 500,1 ha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C6EC71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6981E5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91FB2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3D276B2F" w14:textId="2381E022" w:rsidTr="008A608B">
        <w:tc>
          <w:tcPr>
            <w:tcW w:w="70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E5AC43" w14:textId="77777777" w:rsidR="004C5CE0" w:rsidRPr="007D1BA5" w:rsidRDefault="004C5CE0" w:rsidP="008A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8.</w:t>
            </w:r>
          </w:p>
        </w:tc>
        <w:tc>
          <w:tcPr>
            <w:tcW w:w="1781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E6BF1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Viena pretendenta atbalstam pieteiktās platības lielums kārtā</w:t>
            </w: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FE214" w14:textId="77777777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Līdz 5 ha (ieskaitot)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AA0F7D3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1268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503C55" w14:textId="77777777" w:rsidR="004C5CE0" w:rsidRPr="007D1BA5" w:rsidRDefault="004C5CE0" w:rsidP="0022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10</w:t>
            </w:r>
          </w:p>
        </w:tc>
        <w:tc>
          <w:tcPr>
            <w:tcW w:w="6280" w:type="dxa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EB5733A" w14:textId="046FA88B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Punktus piešķir par viena pretendenta</w:t>
            </w:r>
            <w:r w:rsidR="00E347B5"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 xml:space="preserve"> 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pasākuma kārtā iesniegto pieteikumu platīb</w:t>
            </w:r>
            <w:r w:rsidR="00220E4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ām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.</w:t>
            </w:r>
          </w:p>
          <w:p w14:paraId="4880447A" w14:textId="50392D2B" w:rsidR="004C5CE0" w:rsidRPr="007D1BA5" w:rsidRDefault="004C5CE0" w:rsidP="0022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62A1FDAB" w14:textId="7BCFEB23" w:rsidTr="007D1BA5">
        <w:tc>
          <w:tcPr>
            <w:tcW w:w="70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47CFE7" w14:textId="77777777" w:rsidR="004C5CE0" w:rsidRPr="007D1BA5" w:rsidRDefault="004C5CE0" w:rsidP="007D1BA5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1781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FFA4FC" w14:textId="77777777" w:rsidR="004C5CE0" w:rsidRPr="007D1BA5" w:rsidRDefault="004C5CE0" w:rsidP="004C5CE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429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69501B" w14:textId="77777777" w:rsidR="004C5CE0" w:rsidRPr="007D1BA5" w:rsidRDefault="004C5CE0" w:rsidP="004C5CE0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Vairāk nekā 5 ha</w:t>
            </w:r>
          </w:p>
        </w:tc>
        <w:tc>
          <w:tcPr>
            <w:tcW w:w="126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32FF9D" w14:textId="77777777" w:rsidR="004C5CE0" w:rsidRPr="007D1BA5" w:rsidRDefault="004C5CE0" w:rsidP="004C5C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8501C7" w14:textId="77777777" w:rsidR="004C5CE0" w:rsidRPr="007D1BA5" w:rsidRDefault="004C5CE0" w:rsidP="004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  <w:tc>
          <w:tcPr>
            <w:tcW w:w="6280" w:type="dxa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7C905A" w14:textId="77777777" w:rsidR="004C5CE0" w:rsidRPr="007D1BA5" w:rsidRDefault="004C5CE0" w:rsidP="004C5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00E40A3F" w14:textId="2FBAC99A" w:rsidTr="007D1BA5">
        <w:tc>
          <w:tcPr>
            <w:tcW w:w="8037" w:type="dxa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8D62CF" w14:textId="77777777" w:rsidR="004C5CE0" w:rsidRPr="007D1BA5" w:rsidRDefault="004C5CE0" w:rsidP="008A608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KOPĀ</w:t>
            </w:r>
          </w:p>
        </w:tc>
        <w:tc>
          <w:tcPr>
            <w:tcW w:w="1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A14894B" w14:textId="77777777" w:rsidR="004C5CE0" w:rsidRPr="007D1BA5" w:rsidRDefault="004C5CE0" w:rsidP="004C5C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  <w:t>140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EAFE" w14:textId="77777777" w:rsidR="004C5CE0" w:rsidRPr="007D1BA5" w:rsidRDefault="004C5CE0" w:rsidP="004C5CE0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3E1444AB" w14:textId="2247E825" w:rsidTr="008A608B">
        <w:trPr>
          <w:trHeight w:val="214"/>
        </w:trPr>
        <w:tc>
          <w:tcPr>
            <w:tcW w:w="930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69BA13" w14:textId="2CEF7713" w:rsidR="004C5CE0" w:rsidRPr="007D1BA5" w:rsidRDefault="004C5CE0" w:rsidP="008A608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Minimālais punktu skaits, lai pretendētu uz atbalstu, ir 30 punkt</w:t>
            </w:r>
            <w:r w:rsidR="000F54D8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i.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A18D10" w14:textId="77777777" w:rsidR="004C5CE0" w:rsidRPr="007D1BA5" w:rsidRDefault="004C5CE0" w:rsidP="008A608B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  <w:tr w:rsidR="004C5CE0" w:rsidRPr="007D1BA5" w14:paraId="1DB22E61" w14:textId="3FAD6C70" w:rsidTr="008A608B">
        <w:tc>
          <w:tcPr>
            <w:tcW w:w="9305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9B2A4A" w14:textId="77777777" w:rsidR="004C5CE0" w:rsidRPr="007D1BA5" w:rsidRDefault="004C5CE0" w:rsidP="008A608B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Piezīme. 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vertAlign w:val="superscript"/>
                <w:lang w:val="lv-LV" w:eastAsia="en-GB" w:bidi="lo-LA"/>
              </w:rPr>
              <w:t>1 </w:t>
            </w:r>
            <w:r w:rsidRPr="007D1BA5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  <w:t>Meža īpašnieku biedrība Biedrību un nodibinājumu reģistrā ir reģistrēta vismaz trīs gadus.</w:t>
            </w:r>
          </w:p>
        </w:tc>
        <w:tc>
          <w:tcPr>
            <w:tcW w:w="628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5E56B" w14:textId="77777777" w:rsidR="004C5CE0" w:rsidRPr="007D1BA5" w:rsidRDefault="004C5CE0" w:rsidP="004C5CE0">
            <w:pPr>
              <w:spacing w:after="0" w:line="254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 w:eastAsia="en-GB" w:bidi="lo-LA"/>
              </w:rPr>
            </w:pPr>
          </w:p>
        </w:tc>
      </w:tr>
    </w:tbl>
    <w:p w14:paraId="57A9FC61" w14:textId="77777777" w:rsidR="000073ED" w:rsidRPr="007D1BA5" w:rsidRDefault="000073ED" w:rsidP="000073ED">
      <w:pPr>
        <w:shd w:val="clear" w:color="auto" w:fill="FFFFFF"/>
        <w:spacing w:before="100" w:beforeAutospacing="1" w:after="100" w:afterAutospacing="1" w:line="254" w:lineRule="atLeast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val="lv-LV" w:eastAsia="en-GB" w:bidi="lo-LA"/>
        </w:rPr>
      </w:pPr>
      <w:r w:rsidRPr="007D1BA5">
        <w:rPr>
          <w:rFonts w:ascii="Times New Roman" w:eastAsia="Times New Roman" w:hAnsi="Times New Roman" w:cs="Times New Roman"/>
          <w:color w:val="414142"/>
          <w:sz w:val="20"/>
          <w:szCs w:val="20"/>
          <w:lang w:val="lv-LV" w:eastAsia="en-GB" w:bidi="lo-LA"/>
        </w:rPr>
        <w:t> </w:t>
      </w:r>
    </w:p>
    <w:p w14:paraId="1B3CCFC2" w14:textId="77777777" w:rsidR="00BE1887" w:rsidRPr="007D1BA5" w:rsidRDefault="00BE1887">
      <w:pPr>
        <w:rPr>
          <w:rFonts w:ascii="Times New Roman" w:hAnsi="Times New Roman" w:cs="Times New Roman"/>
          <w:lang w:val="lv-LV"/>
        </w:rPr>
      </w:pPr>
    </w:p>
    <w:sectPr w:rsidR="00BE1887" w:rsidRPr="007D1BA5" w:rsidSect="007D1BA5">
      <w:headerReference w:type="default" r:id="rId12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B5E0" w14:textId="77777777" w:rsidR="00820045" w:rsidRDefault="00820045" w:rsidP="00820045">
      <w:pPr>
        <w:spacing w:after="0" w:line="240" w:lineRule="auto"/>
      </w:pPr>
      <w:r>
        <w:separator/>
      </w:r>
    </w:p>
  </w:endnote>
  <w:endnote w:type="continuationSeparator" w:id="0">
    <w:p w14:paraId="1278F6B9" w14:textId="77777777" w:rsidR="00820045" w:rsidRDefault="00820045" w:rsidP="008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CC0D0" w14:textId="77777777" w:rsidR="00820045" w:rsidRDefault="00820045" w:rsidP="00820045">
      <w:pPr>
        <w:spacing w:after="0" w:line="240" w:lineRule="auto"/>
      </w:pPr>
      <w:r>
        <w:separator/>
      </w:r>
    </w:p>
  </w:footnote>
  <w:footnote w:type="continuationSeparator" w:id="0">
    <w:p w14:paraId="66054194" w14:textId="77777777" w:rsidR="00820045" w:rsidRDefault="00820045" w:rsidP="0082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C7B6" w14:textId="2112D97C" w:rsidR="00014603" w:rsidRPr="00014603" w:rsidRDefault="00014603" w:rsidP="00014603">
    <w:pPr>
      <w:pStyle w:val="Header"/>
      <w:jc w:val="right"/>
      <w:rPr>
        <w:rFonts w:ascii="Times New Roman" w:hAnsi="Times New Roman" w:cs="Times New Roman"/>
        <w:lang w:val="lv-LV"/>
      </w:rPr>
    </w:pPr>
    <w:r w:rsidRPr="00014603">
      <w:rPr>
        <w:rFonts w:ascii="Times New Roman" w:hAnsi="Times New Roman" w:cs="Times New Roman"/>
        <w:lang w:val="lv-LV"/>
      </w:rPr>
      <w:t>3. pielikums</w:t>
    </w:r>
    <w:r w:rsidRPr="00014603">
      <w:rPr>
        <w:rFonts w:ascii="Times New Roman" w:hAnsi="Times New Roman" w:cs="Times New Roman"/>
        <w:lang w:val="lv-LV"/>
      </w:rPr>
      <w:br/>
      <w:t>Ministru kabineta</w:t>
    </w:r>
    <w:r w:rsidRPr="00014603">
      <w:rPr>
        <w:rFonts w:ascii="Times New Roman" w:hAnsi="Times New Roman" w:cs="Times New Roman"/>
        <w:lang w:val="lv-LV"/>
      </w:rPr>
      <w:br/>
      <w:t>2023. gada 3. oktobra</w:t>
    </w:r>
    <w:r w:rsidRPr="00014603">
      <w:rPr>
        <w:rFonts w:ascii="Times New Roman" w:hAnsi="Times New Roman" w:cs="Times New Roman"/>
        <w:lang w:val="lv-LV"/>
      </w:rPr>
      <w:br/>
      <w:t>noteikumiem Nr. 561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3ED"/>
    <w:rsid w:val="000073ED"/>
    <w:rsid w:val="00014603"/>
    <w:rsid w:val="000F54D8"/>
    <w:rsid w:val="00125252"/>
    <w:rsid w:val="00176F14"/>
    <w:rsid w:val="001E0113"/>
    <w:rsid w:val="00220E47"/>
    <w:rsid w:val="003049BE"/>
    <w:rsid w:val="0032169E"/>
    <w:rsid w:val="003258B5"/>
    <w:rsid w:val="003A2F17"/>
    <w:rsid w:val="00470C61"/>
    <w:rsid w:val="004C5CE0"/>
    <w:rsid w:val="004E1C82"/>
    <w:rsid w:val="00674427"/>
    <w:rsid w:val="007D1BA5"/>
    <w:rsid w:val="00820045"/>
    <w:rsid w:val="00861A86"/>
    <w:rsid w:val="008A608B"/>
    <w:rsid w:val="009771C8"/>
    <w:rsid w:val="00995300"/>
    <w:rsid w:val="009F1909"/>
    <w:rsid w:val="00A72617"/>
    <w:rsid w:val="00B47109"/>
    <w:rsid w:val="00BE1887"/>
    <w:rsid w:val="00CD7F32"/>
    <w:rsid w:val="00DB47F9"/>
    <w:rsid w:val="00E11DCC"/>
    <w:rsid w:val="00E24B18"/>
    <w:rsid w:val="00E347B5"/>
    <w:rsid w:val="00EE0E93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784C"/>
  <w15:chartTrackingRefBased/>
  <w15:docId w15:val="{41DD9562-5AFE-4DD3-AE49-6CE19E8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8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8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45"/>
  </w:style>
  <w:style w:type="paragraph" w:styleId="Footer">
    <w:name w:val="footer"/>
    <w:basedOn w:val="Normal"/>
    <w:link w:val="FooterChar"/>
    <w:uiPriority w:val="99"/>
    <w:unhideWhenUsed/>
    <w:rsid w:val="008200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45"/>
  </w:style>
  <w:style w:type="character" w:styleId="CommentReference">
    <w:name w:val="annotation reference"/>
    <w:basedOn w:val="DefaultParagraphFont"/>
    <w:uiPriority w:val="99"/>
    <w:semiHidden/>
    <w:unhideWhenUsed/>
    <w:rsid w:val="007D1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1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1B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4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latvija.lv/geo/mapviewer?licenceId=Free-239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zols.gov.lv/p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olatvija.lv/geo/mapviewer?licenceId=Free-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latvija.lv/geo/mapviewer?licenceId=Free-2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1FA66-0996-41A5-BC58-C95B3F07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janis.kuklis</dc:creator>
  <cp:keywords/>
  <dc:description/>
  <cp:lastModifiedBy>janis.kuklis</cp:lastModifiedBy>
  <cp:revision>24</cp:revision>
  <dcterms:created xsi:type="dcterms:W3CDTF">2023-10-17T10:19:00Z</dcterms:created>
  <dcterms:modified xsi:type="dcterms:W3CDTF">2023-11-22T09:39:00Z</dcterms:modified>
</cp:coreProperties>
</file>